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vml" ContentType="application/vnd.openxmlformats-officedocument.vmlDrawing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body>
    <w:p w:rsidP="00750c3d">
      <w:pPr>
        <w:pStyle w:val="Normal"/>
        <w:rPr>
          <w:b/>
          <w:sz w:val="22"/>
          <w:szCs w:val="22"/>
          <w:rFonts w:ascii="Times New Roman" w:hAnsi="Times New Roman"/>
        </w:rPr>
        <w:jc w:val="center"/>
      </w:pPr>
      <w:r w:rsidR="00750c3d" w:rsidRPr="004a7357">
        <w:rPr>
          <w:sz w:val="22"/>
          <w:szCs w:val="22"/>
          <w:rFonts w:ascii="Times New Roman" w:hAnsi="Times New Roman"/>
        </w:rPr>
        <w:fldChar w:fldCharType="begin"/>
      </w:r>
      <w:r w:rsidR="00750c3d" w:rsidRPr="004a7357">
        <w:rPr>
          <w:sz w:val="22"/>
          <w:szCs w:val="22"/>
          <w:rFonts w:ascii="Times New Roman" w:hAnsi="Times New Roman"/>
        </w:rPr>
        <w:instrText xml:space="preserve">EMBED PBrush</w:instrText>
      </w:r>
      <w:r w:rsidR="00750c3d" w:rsidRPr="004a7357">
        <w:rPr>
          <w:sz w:val="22"/>
          <w:szCs w:val="22"/>
          <w:rFonts w:ascii="Times New Roman" w:hAnsi="Times New Roman"/>
        </w:rPr>
        <w:fldChar w:fldCharType="separate"/>
      </w:r>
      <w:r w:rsidR="00750c3d" w:rsidRPr="004a7357">
        <w:rPr>
          <w:sz w:val="22"/>
          <w:szCs w:val="22"/>
          <w:rFonts w:ascii="Times New Roman" w:hAnsi="Times New Roman"/>
        </w:rPr>
        <w:pict>
          <v:shapetype id="_x0000_t75" coordsize="21600,21600" o:spt="75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/>
            <o:lock aspectratio="t" v:ext="edit"/>
          </v:shapetype>
          <v:shape type="#_x0000_t75" style="width:110.16pt;height:63.359999999999999pt;" id="{F51AB4AA-EEEE-4976-B191-1295C4A89043}">
            <v:imagedata o:title="" r:id="rId2"/>
            <w10:bordertop type="none" width="0"/>
            <w10:borderleft type="none" width="0"/>
            <w10:borderbottom type="none" width="0"/>
            <w10:borderright type="none" width="0"/>
          </v:shape>
        </w:pict>
        <w:fldChar w:fldCharType="end"/>
      </w:r>
      <w:r w:rsidR="00750c3d" w:rsidRPr="004a7357">
        <w:rPr>
          <w:b/>
          <w:sz w:val="22"/>
          <w:szCs w:val="22"/>
          <w:rFonts w:ascii="Times New Roman" w:hAnsi="Times New Roman"/>
        </w:rPr>
      </w:r>
    </w:p>
    <w:p w:rsidP="0063274a">
      <w:pPr>
        <w:pStyle w:val="StGen14"/>
        <w:rPr>
          <w:sz w:val="22"/>
          <w:szCs w:val="22"/>
          <w:rFonts w:ascii="Times New Roman" w:hAnsi="Times New Roman"/>
        </w:rPr>
        <w:jc w:val="both"/>
      </w:pPr>
      <w:r w:rsidR="00750c3d" w:rsidRPr="004a7357">
        <w:rPr>
          <w:rStyle w:val="StGen15"/>
          <w:sz w:val="22"/>
          <w:szCs w:val="22"/>
          <w:rFonts w:ascii="Times New Roman" w:hAnsi="Times New Roman"/>
        </w:rPr>
        <w:t xml:space="preserve">Date :</w:t>
      </w:r>
      <w:r w:rsidR="00750c3d" w:rsidRPr="004a7357">
        <w:tab/>
      </w:r>
      <w:r w:rsidR="00750c3d" w:rsidRPr="004a7357">
        <w:fldChar w:fldCharType="begin"/>
      </w:r>
      <w:r w:rsidR="00750c3d" w:rsidRPr="004a7357">
        <w:instrText xml:space="preserve"> TIME \@ "dd/MM/yy" </w:instrText>
      </w:r>
      <w:r w:rsidR="00750c3d" w:rsidRPr="004a7357">
        <w:fldChar w:fldCharType="separate"/>
      </w:r>
      <w:r w:rsidR="00024378">
        <w:rPr>
          <w:noProof/>
        </w:rPr>
        <w:instrText xml:space="preserve">20/02/06</w:instrText>
      </w:r>
      <w:r w:rsidR="00750c3d" w:rsidRPr="004a7357">
        <w:fldChar w:fldCharType="end"/>
      </w:r>
      <w:r w:rsidR="00750c3d" w:rsidRPr="0063274a">
        <w:rPr>
          <w:sz w:val="22"/>
          <w:szCs w:val="22"/>
          <w:rFonts w:ascii="Times New Roman" w:hAnsi="Times New Roman"/>
        </w:rPr>
      </w:r>
    </w:p>
    <w:p w:rsidP="00750c3d">
      <w:pPr>
        <w:pStyle w:val="MessageHeader"/>
        <w:rPr>
          <w:sz w:val="22"/>
          <w:szCs w:val="22"/>
          <w:rFonts w:ascii="Times New Roman" w:hAnsi="Times New Roman"/>
        </w:rPr>
        <w:jc w:val="both"/>
      </w:pPr>
      <w:r w:rsidR="00750c3d" w:rsidRPr="004a7357">
        <w:rPr>
          <w:rStyle w:val="StGen15"/>
          <w:sz w:val="22"/>
          <w:szCs w:val="22"/>
          <w:rFonts w:ascii="Times New Roman" w:hAnsi="Times New Roman"/>
        </w:rPr>
        <w:t xml:space="preserve">De :</w:t>
      </w:r>
      <w:r w:rsidR="00750c3d" w:rsidRPr="004a7357">
        <w:rPr>
          <w:sz w:val="22"/>
          <w:szCs w:val="22"/>
          <w:rFonts w:ascii="Times New Roman" w:hAnsi="Times New Roman"/>
        </w:rPr>
        <w:tab/>
        <w:t xml:space="preserve">FCD</w:t>
      </w:r>
    </w:p>
    <w:p w:rsidP="00750c3d">
      <w:pPr>
        <w:pStyle w:val="StGen16"/>
        <w:rPr>
          <w:sz w:val="22"/>
          <w:szCs w:val="22"/>
          <w:rFonts w:ascii="Times New Roman" w:hAnsi="Times New Roman"/>
        </w:rPr>
        <w:jc w:val="both"/>
      </w:pPr>
      <w:r w:rsidR="00750c3d" w:rsidRPr="004a7357">
        <w:rPr>
          <w:rStyle w:val="StGen15"/>
          <w:sz w:val="22"/>
          <w:szCs w:val="22"/>
          <w:rFonts w:ascii="Times New Roman" w:hAnsi="Times New Roman"/>
        </w:rPr>
        <w:t xml:space="preserve">Objet :</w:t>
      </w:r>
      <w:r w:rsidR="00750c3d" w:rsidRPr="004a7357">
        <w:rPr>
          <w:sz w:val="22"/>
          <w:szCs w:val="22"/>
          <w:rFonts w:ascii="Times New Roman" w:hAnsi="Times New Roman"/>
        </w:rPr>
        <w:tab/>
      </w:r>
      <w:r w:rsidR="001f2232">
        <w:rPr>
          <w:sz w:val="22"/>
          <w:szCs w:val="22"/>
          <w:rFonts w:ascii="Times New Roman" w:hAnsi="Times New Roman"/>
        </w:rPr>
        <w:t xml:space="preserve">P</w:t>
      </w:r>
      <w:r w:rsidR="00750c3d" w:rsidRPr="004a7357">
        <w:rPr>
          <w:sz w:val="22"/>
          <w:szCs w:val="22"/>
          <w:rFonts w:ascii="Times New Roman" w:hAnsi="Times New Roman"/>
        </w:rPr>
        <w:t xml:space="preserve">arapharmacie</w:t>
      </w:r>
    </w:p>
    <w:p w:rsidP="00d2532c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d2532c">
        <w:rPr>
          <w:spacing w:val="0"/>
          <w:sz w:val="22"/>
          <w:szCs w:val="22"/>
          <w:rFonts w:ascii="Times New Roman" w:hAnsi="Times New Roman"/>
        </w:rPr>
      </w:r>
    </w:p>
    <w:p w:rsidP="00d2532c">
      <w:pPr>
        <w:pStyle w:val="Normal"/>
        <w:rPr>
          <w:b/>
          <w:spacing w:val="0"/>
          <w:sz w:val="22"/>
          <w:szCs w:val="22"/>
          <w:rFonts w:ascii="Times New Roman" w:hAnsi="Times New Roman"/>
        </w:rPr>
        <w:overflowPunct/>
        <w:jc w:val="both"/>
      </w:pPr>
      <w:r w:rsidR="00750c3d">
        <w:rPr>
          <w:spacing w:val="0"/>
          <w:sz w:val="22"/>
          <w:szCs w:val="22"/>
          <w:rFonts w:ascii="Times New Roman" w:hAnsi="Times New Roman"/>
        </w:rPr>
        <w:t xml:space="preserve">En France, </w:t>
      </w:r>
      <w:r w:rsidR="00565c96">
        <w:rPr>
          <w:spacing w:val="0"/>
          <w:sz w:val="22"/>
          <w:szCs w:val="22"/>
          <w:rFonts w:ascii="Times New Roman" w:hAnsi="Times New Roman"/>
        </w:rPr>
        <w:t xml:space="preserve">les pharmaciens d’officine ont le monopole de la vente au public des médicaments et d’un certain nombre d’autres produits de parapharmacie </w:t>
      </w:r>
      <w:r w:rsidR="00750c3d">
        <w:rPr>
          <w:b/>
          <w:spacing w:val="0"/>
          <w:sz w:val="22"/>
          <w:szCs w:val="22"/>
          <w:rFonts w:ascii="Times New Roman" w:hAnsi="Times New Roman"/>
        </w:rPr>
        <w:t xml:space="preserve">(art. L. 5121-1 </w:t>
      </w:r>
      <w:r w:rsidR="00b202f6">
        <w:rPr>
          <w:b/>
          <w:spacing w:val="0"/>
          <w:sz w:val="22"/>
          <w:szCs w:val="22"/>
          <w:rFonts w:ascii="Times New Roman" w:hAnsi="Times New Roman"/>
        </w:rPr>
        <w:t xml:space="preserve">et L. 211-2 </w:t>
      </w:r>
      <w:r w:rsidR="00565c96">
        <w:rPr>
          <w:b/>
          <w:spacing w:val="0"/>
          <w:sz w:val="22"/>
          <w:szCs w:val="22"/>
          <w:rFonts w:ascii="Times New Roman" w:hAnsi="Times New Roman"/>
        </w:rPr>
        <w:t xml:space="preserve">du C</w:t>
      </w:r>
      <w:r w:rsidR="00750c3d">
        <w:rPr>
          <w:b/>
          <w:spacing w:val="0"/>
          <w:sz w:val="22"/>
          <w:szCs w:val="22"/>
          <w:rFonts w:ascii="Times New Roman" w:hAnsi="Times New Roman"/>
        </w:rPr>
        <w:t xml:space="preserve">ode la santé publique)</w:t>
      </w:r>
      <w:r w:rsidR="00750c3d" w:rsidRPr="00750c3d">
        <w:rPr>
          <w:b/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b/>
          <w:spacing w:val="0"/>
          <w:sz w:val="22"/>
          <w:szCs w:val="22"/>
          <w:rFonts w:ascii="Times New Roman" w:hAnsi="Times New Roman"/>
        </w:rPr>
        <w:overflowPunct/>
        <w:jc w:val="both"/>
      </w:pPr>
      <w:r w:rsidR="00750c3d" w:rsidRPr="00750c3d">
        <w:rPr>
          <w:b/>
          <w:spacing w:val="0"/>
          <w:sz w:val="22"/>
          <w:szCs w:val="22"/>
          <w:rFonts w:ascii="Times New Roman" w:hAnsi="Times New Roman"/>
        </w:rPr>
      </w:r>
    </w:p>
    <w:p w:rsidP="0063274a">
      <w:pPr>
        <w:pStyle w:val="Normal"/>
        <w:rPr>
          <w:b/>
          <w:spacing w:val="0"/>
          <w:sz w:val="22"/>
          <w:szCs w:val="22"/>
          <w:rFonts w:ascii="Times New Roman" w:hAnsi="Times New Roman"/>
        </w:rPr>
        <w:overflowPunct/>
        <w:jc w:val="both"/>
      </w:pPr>
      <w:r w:rsidR="00b202f6">
        <w:rPr>
          <w:spacing w:val="0"/>
          <w:sz w:val="22"/>
          <w:szCs w:val="22"/>
          <w:rFonts w:ascii="Times New Roman" w:hAnsi="Times New Roman"/>
        </w:rPr>
        <w:t xml:space="preserve">Sont ainsi </w:t>
      </w:r>
      <w:r w:rsidR="00347ef8">
        <w:rPr>
          <w:spacing w:val="0"/>
          <w:sz w:val="22"/>
          <w:szCs w:val="22"/>
          <w:rFonts w:ascii="Times New Roman" w:hAnsi="Times New Roman"/>
        </w:rPr>
        <w:t xml:space="preserve">notamment </w:t>
      </w:r>
      <w:r w:rsidR="00b202f6">
        <w:rPr>
          <w:spacing w:val="0"/>
          <w:sz w:val="22"/>
          <w:szCs w:val="22"/>
          <w:rFonts w:ascii="Times New Roman" w:hAnsi="Times New Roman"/>
        </w:rPr>
        <w:t xml:space="preserve">réservés aux pharmaciens</w:t>
      </w:r>
      <w:r w:rsidR="00347ef8">
        <w:rPr>
          <w:spacing w:val="0"/>
          <w:sz w:val="22"/>
          <w:szCs w:val="22"/>
          <w:rFonts w:ascii="Times New Roman" w:hAnsi="Times New Roman"/>
        </w:rPr>
        <w:t xml:space="preserve">,</w:t>
      </w:r>
      <w:r w:rsidR="00b202f6">
        <w:rPr>
          <w:spacing w:val="0"/>
          <w:sz w:val="22"/>
          <w:szCs w:val="22"/>
          <w:rFonts w:ascii="Times New Roman" w:hAnsi="Times New Roman"/>
        </w:rPr>
        <w:t xml:space="preserve"> la vente des objets </w:t>
      </w:r>
      <w:r w:rsidR="00b202f6" w:rsidRPr="0063274a">
        <w:rPr>
          <w:b/>
          <w:spacing w:val="0"/>
          <w:sz w:val="22"/>
          <w:szCs w:val="22"/>
          <w:rFonts w:ascii="Times New Roman" w:hAnsi="Times New Roman"/>
        </w:rPr>
        <w:t xml:space="preserve">de pansements, les antiseptiques</w:t>
      </w:r>
      <w:r w:rsidR="00b202f6">
        <w:rPr>
          <w:spacing w:val="0"/>
          <w:sz w:val="22"/>
          <w:szCs w:val="22"/>
          <w:rFonts w:ascii="Times New Roman" w:hAnsi="Times New Roman"/>
        </w:rPr>
        <w:t xml:space="preserve"> (bains de bouche, eau oxygénée</w:t>
      </w:r>
      <w:r w:rsidR="00347ef8">
        <w:rPr>
          <w:spacing w:val="0"/>
          <w:sz w:val="22"/>
          <w:szCs w:val="22"/>
          <w:rFonts w:ascii="Times New Roman" w:hAnsi="Times New Roman"/>
        </w:rPr>
        <w:t xml:space="preserve">, éosine, alcool a 70, spray désinfectant</w:t>
      </w:r>
      <w:r w:rsidR="00b202f6">
        <w:rPr>
          <w:spacing w:val="0"/>
          <w:sz w:val="22"/>
          <w:szCs w:val="22"/>
          <w:rFonts w:ascii="Times New Roman" w:hAnsi="Times New Roman"/>
        </w:rPr>
        <w:t xml:space="preserve">°), les insecticides et acaricides (</w:t>
      </w:r>
      <w:r w:rsidR="00b202f6" w:rsidRPr="0063274a">
        <w:rPr>
          <w:b/>
          <w:spacing w:val="0"/>
          <w:sz w:val="22"/>
          <w:szCs w:val="22"/>
          <w:rFonts w:ascii="Times New Roman" w:hAnsi="Times New Roman"/>
        </w:rPr>
        <w:t xml:space="preserve">produits anti-poux</w:t>
      </w:r>
      <w:r w:rsidR="00b202f6">
        <w:rPr>
          <w:spacing w:val="0"/>
          <w:sz w:val="22"/>
          <w:szCs w:val="22"/>
          <w:rFonts w:ascii="Times New Roman" w:hAnsi="Times New Roman"/>
        </w:rPr>
        <w:t xml:space="preserve"> notamment), </w:t>
      </w:r>
      <w:r w:rsidR="00b202f6" w:rsidRPr="0063274a">
        <w:rPr>
          <w:b/>
          <w:spacing w:val="0"/>
          <w:sz w:val="22"/>
          <w:szCs w:val="22"/>
          <w:rFonts w:ascii="Times New Roman" w:hAnsi="Times New Roman"/>
        </w:rPr>
        <w:t xml:space="preserve">les produits destinés à l’entretien des lentilles oculaires de contact</w:t>
      </w:r>
      <w:r w:rsidR="00b202f6">
        <w:rPr>
          <w:spacing w:val="0"/>
          <w:sz w:val="22"/>
          <w:szCs w:val="22"/>
          <w:rFonts w:ascii="Times New Roman" w:hAnsi="Times New Roman"/>
        </w:rPr>
        <w:t xml:space="preserve">, les produits dits « de confort » (vitamines, mélange de vitamines) ainsi que tous les dispositifs de diagnostic in vitro, tels que </w:t>
      </w:r>
      <w:r w:rsidR="00b202f6" w:rsidRPr="0063274a">
        <w:rPr>
          <w:b/>
          <w:spacing w:val="0"/>
          <w:sz w:val="22"/>
          <w:szCs w:val="22"/>
          <w:rFonts w:ascii="Times New Roman" w:hAnsi="Times New Roman"/>
        </w:rPr>
        <w:t xml:space="preserve">les test</w:t>
      </w:r>
      <w:r w:rsidR="00565c96" w:rsidRPr="0063274a">
        <w:rPr>
          <w:b/>
          <w:spacing w:val="0"/>
          <w:sz w:val="22"/>
          <w:szCs w:val="22"/>
          <w:rFonts w:ascii="Times New Roman" w:hAnsi="Times New Roman"/>
        </w:rPr>
        <w:t xml:space="preserve">s</w:t>
      </w:r>
      <w:r w:rsidR="00b202f6" w:rsidRPr="0063274a">
        <w:rPr>
          <w:b/>
          <w:spacing w:val="0"/>
          <w:sz w:val="22"/>
          <w:szCs w:val="22"/>
          <w:rFonts w:ascii="Times New Roman" w:hAnsi="Times New Roman"/>
        </w:rPr>
        <w:t xml:space="preserve"> de grossesse. </w:t>
      </w:r>
      <w:r w:rsidR="00750c3d" w:rsidRPr="0063274a">
        <w:rPr>
          <w:b/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750c3d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c54ebf">
        <w:rPr>
          <w:spacing w:val="0"/>
          <w:sz w:val="22"/>
          <w:szCs w:val="22"/>
          <w:rFonts w:ascii="Times New Roman" w:hAnsi="Times New Roman"/>
        </w:rPr>
        <w:t xml:space="preserve">Contrairement à une opinion répandue, la vente de ces produits en grande surface ou en dehors d’une officine est </w:t>
      </w:r>
      <w:r w:rsidR="0063274a">
        <w:rPr>
          <w:spacing w:val="0"/>
          <w:sz w:val="22"/>
          <w:szCs w:val="22"/>
          <w:rFonts w:ascii="Times New Roman" w:hAnsi="Times New Roman"/>
        </w:rPr>
        <w:t xml:space="preserve">prohibée. L’</w:t>
      </w:r>
      <w:r w:rsidR="00c54ebf">
        <w:rPr>
          <w:spacing w:val="0"/>
          <w:sz w:val="22"/>
          <w:szCs w:val="22"/>
          <w:rFonts w:ascii="Times New Roman" w:hAnsi="Times New Roman"/>
        </w:rPr>
        <w:t xml:space="preserve">article L. </w:t>
      </w:r>
      <w:r w:rsidR="00c54ebf" w:rsidRPr="00c54ebf">
        <w:rPr>
          <w:spacing w:val="0"/>
          <w:sz w:val="22"/>
          <w:szCs w:val="22"/>
          <w:rFonts w:ascii="Times New Roman" w:hAnsi="Times New Roman"/>
        </w:rPr>
        <w:t xml:space="preserve">4211-2 du code la santé publique</w:t>
      </w:r>
      <w:r w:rsidR="0063274a">
        <w:rPr>
          <w:spacing w:val="0"/>
          <w:sz w:val="22"/>
          <w:szCs w:val="22"/>
          <w:rFonts w:ascii="Times New Roman" w:hAnsi="Times New Roman"/>
        </w:rPr>
        <w:t xml:space="preserve"> </w:t>
      </w:r>
      <w:r w:rsidR="00c54ebf">
        <w:rPr>
          <w:spacing w:val="0"/>
          <w:sz w:val="22"/>
          <w:szCs w:val="22"/>
          <w:rFonts w:ascii="Times New Roman" w:hAnsi="Times New Roman"/>
        </w:rPr>
        <w:t xml:space="preserve">punit les contrevenants à une peine maximale de 15 000 euros d’amende, un an de prison et inscription au casier judiciaire pour exercice illégal de la pharmacie.</w:t>
      </w:r>
      <w:r w:rsidR="00750c3d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8c717b">
        <w:rPr>
          <w:spacing w:val="0"/>
          <w:sz w:val="22"/>
          <w:szCs w:val="22"/>
          <w:rFonts w:ascii="Times New Roman" w:hAnsi="Times New Roman"/>
        </w:rPr>
      </w:r>
    </w:p>
    <w:p w:rsidP="008c717b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8c717b">
        <w:rPr>
          <w:spacing w:val="0"/>
          <w:sz w:val="22"/>
          <w:szCs w:val="22"/>
          <w:rFonts w:ascii="Times New Roman" w:hAnsi="Times New Roman"/>
        </w:rPr>
        <w:t xml:space="preserve">I</w:t>
      </w:r>
      <w:r w:rsidR="008c717b">
        <w:rPr>
          <w:spacing w:val="0"/>
          <w:sz w:val="22"/>
          <w:szCs w:val="22"/>
          <w:rFonts w:ascii="Times New Roman" w:hAnsi="Times New Roman"/>
        </w:rPr>
        <w:t xml:space="preserve">l convient de noter que beaucoup de grandes surfaces commercialisent un certain nombre de ces produits ; et sont donc condamnées à ce titre par les juridictions répressives.</w:t>
      </w:r>
      <w:r w:rsidR="008c717b" w:rsidRPr="00e9159c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750c3d" w:rsidRPr="00c54ebf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565c96">
        <w:rPr>
          <w:spacing w:val="0"/>
          <w:sz w:val="22"/>
          <w:szCs w:val="22"/>
          <w:rFonts w:ascii="Times New Roman" w:hAnsi="Times New Roman"/>
        </w:rPr>
        <w:t xml:space="preserve">L</w:t>
      </w:r>
      <w:r w:rsidR="00c54ebf">
        <w:rPr>
          <w:spacing w:val="0"/>
          <w:sz w:val="22"/>
          <w:szCs w:val="22"/>
          <w:rFonts w:ascii="Times New Roman" w:hAnsi="Times New Roman"/>
        </w:rPr>
        <w:t xml:space="preserve">es GMS souhaitent, depuis de nombr</w:t>
      </w:r>
      <w:r w:rsidR="00565c96">
        <w:rPr>
          <w:spacing w:val="0"/>
          <w:sz w:val="22"/>
          <w:szCs w:val="22"/>
          <w:rFonts w:ascii="Times New Roman" w:hAnsi="Times New Roman"/>
        </w:rPr>
        <w:t xml:space="preserve">euses années, que l’article du C</w:t>
      </w:r>
      <w:r w:rsidR="00c54ebf">
        <w:rPr>
          <w:spacing w:val="0"/>
          <w:sz w:val="22"/>
          <w:szCs w:val="22"/>
          <w:rFonts w:ascii="Times New Roman" w:hAnsi="Times New Roman"/>
        </w:rPr>
        <w:t xml:space="preserve">ode de la santé publique instaurant un tel monopole au bénéfice des pharmaciens d’officine soit revu dans l’intérêt des consommateurs.</w:t>
      </w:r>
      <w:r w:rsidR="00e9159c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e9159c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84117f">
        <w:rPr>
          <w:spacing w:val="0"/>
          <w:sz w:val="22"/>
          <w:szCs w:val="22"/>
          <w:rFonts w:ascii="Times New Roman" w:hAnsi="Times New Roman"/>
        </w:rPr>
        <w:t xml:space="preserve">Ces vingt dernières années, u</w:t>
      </w:r>
      <w:r w:rsidR="00c54ebf">
        <w:rPr>
          <w:spacing w:val="0"/>
          <w:sz w:val="22"/>
          <w:szCs w:val="22"/>
          <w:rFonts w:ascii="Times New Roman" w:hAnsi="Times New Roman"/>
        </w:rPr>
        <w:t xml:space="preserve">n certain nombre de produit</w:t>
      </w:r>
      <w:r w:rsidR="00334915">
        <w:rPr>
          <w:spacing w:val="0"/>
          <w:sz w:val="22"/>
          <w:szCs w:val="22"/>
          <w:rFonts w:ascii="Times New Roman" w:hAnsi="Times New Roman"/>
        </w:rPr>
        <w:t xml:space="preserve">s</w:t>
      </w:r>
      <w:r w:rsidR="00c54ebf">
        <w:rPr>
          <w:spacing w:val="0"/>
          <w:sz w:val="22"/>
          <w:szCs w:val="22"/>
          <w:rFonts w:ascii="Times New Roman" w:hAnsi="Times New Roman"/>
        </w:rPr>
        <w:t xml:space="preserve">, en particulier les laits maternisés et les préservatifs, ont ainsi </w:t>
      </w:r>
      <w:r w:rsidR="00565c96">
        <w:rPr>
          <w:spacing w:val="0"/>
          <w:sz w:val="22"/>
          <w:szCs w:val="22"/>
          <w:rFonts w:ascii="Times New Roman" w:hAnsi="Times New Roman"/>
        </w:rPr>
        <w:t xml:space="preserve">pu </w:t>
      </w:r>
      <w:r w:rsidR="00c54ebf">
        <w:rPr>
          <w:spacing w:val="0"/>
          <w:sz w:val="22"/>
          <w:szCs w:val="22"/>
          <w:rFonts w:ascii="Times New Roman" w:hAnsi="Times New Roman"/>
        </w:rPr>
        <w:t xml:space="preserve">être exclu</w:t>
      </w:r>
      <w:r w:rsidR="00334915">
        <w:rPr>
          <w:spacing w:val="0"/>
          <w:sz w:val="22"/>
          <w:szCs w:val="22"/>
          <w:rFonts w:ascii="Times New Roman" w:hAnsi="Times New Roman"/>
        </w:rPr>
        <w:t xml:space="preserve">s</w:t>
      </w:r>
      <w:r w:rsidR="00c54ebf">
        <w:rPr>
          <w:spacing w:val="0"/>
          <w:sz w:val="22"/>
          <w:szCs w:val="22"/>
          <w:rFonts w:ascii="Times New Roman" w:hAnsi="Times New Roman"/>
        </w:rPr>
        <w:t xml:space="preserve"> du monopole et être librement commercialisé</w:t>
      </w:r>
      <w:r w:rsidR="00565c96">
        <w:rPr>
          <w:spacing w:val="0"/>
          <w:sz w:val="22"/>
          <w:szCs w:val="22"/>
          <w:rFonts w:ascii="Times New Roman" w:hAnsi="Times New Roman"/>
        </w:rPr>
        <w:t xml:space="preserve">s</w:t>
      </w:r>
      <w:r w:rsidR="00c54ebf">
        <w:rPr>
          <w:spacing w:val="0"/>
          <w:sz w:val="22"/>
          <w:szCs w:val="22"/>
          <w:rFonts w:ascii="Times New Roman" w:hAnsi="Times New Roman"/>
        </w:rPr>
        <w:t xml:space="preserve"> dans les magasins</w:t>
      </w:r>
      <w:r w:rsidR="00334915">
        <w:rPr>
          <w:spacing w:val="0"/>
          <w:sz w:val="22"/>
          <w:szCs w:val="22"/>
          <w:rFonts w:ascii="Times New Roman" w:hAnsi="Times New Roman"/>
        </w:rPr>
        <w:t xml:space="preserve">, suivant en cela l</w:t>
      </w:r>
      <w:r w:rsidR="0084117f">
        <w:rPr>
          <w:spacing w:val="0"/>
          <w:sz w:val="22"/>
          <w:szCs w:val="22"/>
          <w:rFonts w:ascii="Times New Roman" w:hAnsi="Times New Roman"/>
        </w:rPr>
        <w:t xml:space="preserve">es modifications de comportements sociologiques de la population</w:t>
      </w:r>
      <w:r w:rsidR="00c54ebf">
        <w:rPr>
          <w:spacing w:val="0"/>
          <w:sz w:val="22"/>
          <w:szCs w:val="22"/>
          <w:rFonts w:ascii="Times New Roman" w:hAnsi="Times New Roman"/>
        </w:rPr>
        <w:t xml:space="preserve">.</w:t>
      </w:r>
      <w:r w:rsidR="0084117f">
        <w:rPr>
          <w:spacing w:val="0"/>
          <w:sz w:val="22"/>
          <w:szCs w:val="22"/>
          <w:rFonts w:ascii="Times New Roman" w:hAnsi="Times New Roman"/>
        </w:rPr>
        <w:t xml:space="preserve"> La diversification des canaux de diffusion a largement contribué à la démocratisation des produits en question.</w:t>
      </w:r>
      <w:r w:rsidR="00750c3d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750c3d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63274a">
        <w:rPr>
          <w:spacing w:val="0"/>
          <w:sz w:val="22"/>
          <w:szCs w:val="22"/>
          <w:rFonts w:ascii="Times New Roman" w:hAnsi="Times New Roman"/>
        </w:rPr>
        <w:t xml:space="preserve">Ajoutons qu’en matière de sécurité des produits, ces dispositifs</w:t>
      </w:r>
      <w:r w:rsidR="00334915">
        <w:rPr>
          <w:spacing w:val="0"/>
          <w:sz w:val="22"/>
          <w:szCs w:val="22"/>
          <w:rFonts w:ascii="Times New Roman" w:hAnsi="Times New Roman"/>
        </w:rPr>
        <w:t xml:space="preserve">,</w:t>
      </w:r>
      <w:r w:rsidR="0063274a">
        <w:rPr>
          <w:spacing w:val="0"/>
          <w:sz w:val="22"/>
          <w:szCs w:val="22"/>
          <w:rFonts w:ascii="Times New Roman" w:hAnsi="Times New Roman"/>
        </w:rPr>
        <w:t xml:space="preserve"> à la différence des médicaments</w:t>
      </w:r>
      <w:r w:rsidR="00334915">
        <w:rPr>
          <w:spacing w:val="0"/>
          <w:sz w:val="22"/>
          <w:szCs w:val="22"/>
          <w:rFonts w:ascii="Times New Roman" w:hAnsi="Times New Roman"/>
        </w:rPr>
        <w:t xml:space="preserve">,</w:t>
      </w:r>
      <w:r w:rsidR="0063274a">
        <w:rPr>
          <w:spacing w:val="0"/>
          <w:sz w:val="22"/>
          <w:szCs w:val="22"/>
          <w:rFonts w:ascii="Times New Roman" w:hAnsi="Times New Roman"/>
        </w:rPr>
        <w:t xml:space="preserve"> ne requièrent pas d’Autorisation de Mise en Marché. Quelque soit leurs canaux de diffusion</w:t>
      </w:r>
      <w:r w:rsidR="00334915">
        <w:rPr>
          <w:spacing w:val="0"/>
          <w:sz w:val="22"/>
          <w:szCs w:val="22"/>
          <w:rFonts w:ascii="Times New Roman" w:hAnsi="Times New Roman"/>
        </w:rPr>
        <w:t xml:space="preserve">,</w:t>
      </w:r>
      <w:r w:rsidR="0063274a">
        <w:rPr>
          <w:spacing w:val="0"/>
          <w:sz w:val="22"/>
          <w:szCs w:val="22"/>
          <w:rFonts w:ascii="Times New Roman" w:hAnsi="Times New Roman"/>
        </w:rPr>
        <w:t xml:space="preserve"> leur fabrication est harmonisée et contrôlée via le marquage CE.</w:t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63274a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b/>
          <w:spacing w:val="0"/>
          <w:sz w:val="22"/>
          <w:bCs/>
          <w:szCs w:val="22"/>
          <w:rFonts w:ascii="Times New Roman" w:hAnsi="Times New Roman"/>
        </w:rPr>
        <w:overflowPunct/>
        <w:jc w:val="both"/>
      </w:pPr>
      <w:r w:rsidR="0063274a">
        <w:rPr>
          <w:b/>
          <w:spacing w:val="0"/>
          <w:sz w:val="22"/>
          <w:bCs/>
          <w:szCs w:val="22"/>
          <w:rFonts w:ascii="Times New Roman" w:hAnsi="Times New Roman"/>
        </w:rPr>
        <w:t xml:space="preserve">Saisi de ce dossier à deux reprises, l</w:t>
      </w:r>
      <w:r w:rsidR="00565c96" w:rsidRPr="004a7357">
        <w:rPr>
          <w:b/>
          <w:spacing w:val="0"/>
          <w:sz w:val="22"/>
          <w:bCs/>
          <w:szCs w:val="22"/>
          <w:rFonts w:ascii="Times New Roman" w:hAnsi="Times New Roman"/>
        </w:rPr>
        <w:t xml:space="preserve">e Conseil National de la Consommation (CNC) a rendu deux avis favorables à l’ouverture à la concurrence pour certains produits de parapharmacie.</w:t>
      </w:r>
      <w:r w:rsidR="00750c3d">
        <w:rPr>
          <w:b/>
          <w:spacing w:val="0"/>
          <w:sz w:val="22"/>
          <w:bCs/>
          <w:szCs w:val="22"/>
          <w:rFonts w:ascii="Times New Roman" w:hAnsi="Times New Roman"/>
        </w:rPr>
      </w:r>
    </w:p>
    <w:p w:rsidP="00750c3d">
      <w:pPr>
        <w:pStyle w:val="Normal"/>
        <w:rPr>
          <w:b/>
          <w:spacing w:val="0"/>
          <w:sz w:val="22"/>
          <w:bCs/>
          <w:szCs w:val="22"/>
          <w:rFonts w:ascii="Times New Roman" w:hAnsi="Times New Roman"/>
        </w:rPr>
        <w:overflowPunct/>
        <w:jc w:val="both"/>
      </w:pPr>
      <w:r w:rsidR="005e19c9">
        <w:rPr>
          <w:b/>
          <w:spacing w:val="0"/>
          <w:sz w:val="22"/>
          <w:bCs/>
          <w:szCs w:val="22"/>
          <w:rFonts w:ascii="Times New Roman" w:hAnsi="Times New Roman"/>
        </w:rPr>
      </w:r>
    </w:p>
    <w:p w:rsidP="005e19c9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5e19c9" w:rsidRPr="004a7357">
        <w:rPr>
          <w:spacing w:val="0"/>
          <w:sz w:val="22"/>
          <w:szCs w:val="22"/>
          <w:rFonts w:ascii="Times New Roman" w:hAnsi="Times New Roman"/>
        </w:rPr>
        <w:t xml:space="preserve">Par un </w:t>
      </w:r>
      <w:r w:rsidR="005e19c9" w:rsidRPr="005e19c9">
        <w:rPr>
          <w:b/>
          <w:spacing w:val="0"/>
          <w:sz w:val="22"/>
          <w:bCs/>
          <w:szCs w:val="22"/>
          <w:rFonts w:ascii="Times New Roman" w:hAnsi="Times New Roman"/>
        </w:rPr>
        <w:t xml:space="preserve">premier avis</w:t>
      </w:r>
      <w:r w:rsidR="005e19c9" w:rsidRPr="005e19c9">
        <w:rPr>
          <w:b/>
          <w:spacing w:val="0"/>
          <w:sz w:val="22"/>
          <w:szCs w:val="22"/>
          <w:rFonts w:ascii="Times New Roman" w:hAnsi="Times New Roman"/>
        </w:rPr>
        <w:t xml:space="preserve">, rendu le </w:t>
      </w:r>
      <w:r w:rsidR="005e19c9" w:rsidRPr="005e19c9">
        <w:rPr>
          <w:b/>
          <w:spacing w:val="0"/>
          <w:sz w:val="22"/>
          <w:bCs/>
          <w:szCs w:val="22"/>
          <w:rFonts w:ascii="Times New Roman" w:hAnsi="Times New Roman"/>
        </w:rPr>
        <w:t xml:space="preserve">15 mars 1991</w:t>
      </w:r>
      <w:r w:rsidR="005e19c9" w:rsidRPr="004a7357">
        <w:rPr>
          <w:spacing w:val="0"/>
          <w:sz w:val="22"/>
          <w:bCs/>
          <w:szCs w:val="22"/>
          <w:rFonts w:ascii="Times New Roman" w:hAnsi="Times New Roman"/>
        </w:rPr>
        <w:t xml:space="preserve">, </w:t>
      </w:r>
      <w:r w:rsidR="005e19c9" w:rsidRPr="004a7357">
        <w:rPr>
          <w:spacing w:val="0"/>
          <w:sz w:val="22"/>
          <w:szCs w:val="22"/>
          <w:rFonts w:ascii="Times New Roman" w:hAnsi="Times New Roman"/>
        </w:rPr>
        <w:t xml:space="preserve">le CNC a préconisé, d’une part, un élargissement de la distribution du nombre de produits à la frontière du médicament (produits dits « frontières »), accompagné d’une bonne information du consommateur sur l’étiquetage et les présentoirs pour éviter toute tromperie à l’égard du consommateur ; et, d’autre part, un régime de libre concurrence pour ces produits qui aurait le double intérêt d’offrir au consommateur un libre choix du circuit de distribution et d’orienter à la baisse le niveau des prix.</w:t>
      </w:r>
    </w:p>
    <w:p w:rsidP="005e19c9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5e19c9" w:rsidRPr="004a7357">
        <w:rPr>
          <w:spacing w:val="0"/>
          <w:sz w:val="22"/>
          <w:szCs w:val="22"/>
          <w:rFonts w:ascii="Times New Roman" w:hAnsi="Times New Roman"/>
        </w:rPr>
      </w:r>
    </w:p>
    <w:p w:rsidP="005e19c9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5e19c9" w:rsidRPr="00901c33">
        <w:rPr>
          <w:b/>
          <w:spacing w:val="0"/>
          <w:sz w:val="22"/>
          <w:bCs/>
          <w:szCs w:val="22"/>
          <w:rFonts w:ascii="Times New Roman" w:hAnsi="Times New Roman"/>
        </w:rPr>
        <w:t xml:space="preserve">Cet avis est resté lettre morte</w:t>
      </w:r>
      <w:r w:rsidR="005e19c9" w:rsidRPr="00901c33">
        <w:rPr>
          <w:b/>
          <w:spacing w:val="0"/>
          <w:sz w:val="22"/>
          <w:szCs w:val="22"/>
          <w:rFonts w:ascii="Times New Roman" w:hAnsi="Times New Roman"/>
        </w:rPr>
        <w:t xml:space="preserve">,</w:t>
      </w:r>
      <w:r w:rsidR="005e19c9" w:rsidRPr="004a7357">
        <w:rPr>
          <w:spacing w:val="0"/>
          <w:sz w:val="22"/>
          <w:szCs w:val="22"/>
          <w:rFonts w:ascii="Times New Roman" w:hAnsi="Times New Roman"/>
        </w:rPr>
        <w:t xml:space="preserve"> alors même que, concomitamment, la législation européenne en matière de « produits de santé</w:t>
      </w:r>
      <w:r w:rsidR="0063274a">
        <w:rPr>
          <w:rStyle w:val="FootnoteReference"/>
          <w:spacing w:val="0"/>
          <w:sz w:val="22"/>
          <w:szCs w:val="22"/>
          <w:rFonts w:ascii="Times New Roman" w:hAnsi="Times New Roman"/>
        </w:rPr>
        <w:footnoteReference w:id="0"/>
      </w:r>
      <w:r w:rsidR="005e19c9" w:rsidRPr="004a7357">
        <w:rPr>
          <w:spacing w:val="0"/>
          <w:sz w:val="22"/>
          <w:szCs w:val="22"/>
          <w:rFonts w:ascii="Times New Roman" w:hAnsi="Times New Roman"/>
        </w:rPr>
        <w:t xml:space="preserve"> » évoluait dans le sens d’un rapprochement des législations nationales, et ce, afin de garantir une plus grande sécurité et une meilleure information des consommateurs.</w:t>
      </w:r>
      <w:r w:rsidR="0063274a">
        <w:rPr>
          <w:spacing w:val="0"/>
          <w:sz w:val="22"/>
          <w:szCs w:val="22"/>
          <w:rFonts w:ascii="Times New Roman" w:hAnsi="Times New Roman"/>
        </w:rPr>
        <w:t xml:space="preserve"> </w:t>
      </w:r>
      <w:r w:rsidR="005e19c9" w:rsidRPr="004a7357">
        <w:rPr>
          <w:spacing w:val="0"/>
          <w:sz w:val="22"/>
          <w:szCs w:val="22"/>
          <w:rFonts w:ascii="Times New Roman" w:hAnsi="Times New Roman"/>
        </w:rPr>
      </w:r>
    </w:p>
    <w:p w:rsidP="005e19c9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5e19c9" w:rsidRPr="004a7357">
        <w:rPr>
          <w:spacing w:val="0"/>
          <w:sz w:val="22"/>
          <w:szCs w:val="22"/>
          <w:rFonts w:ascii="Times New Roman" w:hAnsi="Times New Roman"/>
        </w:rPr>
      </w:r>
    </w:p>
    <w:p w:rsidP="005e19c9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5e19c9" w:rsidRPr="004a7357">
        <w:rPr>
          <w:spacing w:val="0"/>
          <w:sz w:val="22"/>
          <w:szCs w:val="22"/>
          <w:rFonts w:ascii="Times New Roman" w:hAnsi="Times New Roman"/>
        </w:rPr>
        <w:t xml:space="preserve">Au cours de l’année 2002, le groupe de travail « parapharmacie » du CNC a été mandaté, une seconde fois, pour examiner le bien-fondé d’une distribution élargie d’un certain nombre de produits relevant du monopole pharmaceutique.</w:t>
      </w:r>
    </w:p>
    <w:p w:rsidP="005e19c9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5e19c9" w:rsidRPr="004a7357">
        <w:rPr>
          <w:spacing w:val="0"/>
          <w:sz w:val="22"/>
          <w:szCs w:val="22"/>
          <w:rFonts w:ascii="Times New Roman" w:hAnsi="Times New Roman"/>
        </w:rPr>
      </w:r>
    </w:p>
    <w:p w:rsidP="005e19c9">
      <w:pPr>
        <w:pStyle w:val="Normal"/>
        <w:rPr>
          <w:sz w:val="22"/>
          <w:szCs w:val="22"/>
          <w:rFonts w:ascii="Times New Roman" w:hAnsi="Times New Roman"/>
        </w:rPr>
        <w:overflowPunct/>
        <w:jc w:val="both"/>
      </w:pPr>
      <w:r w:rsidR="0084117f">
        <w:rPr>
          <w:sz w:val="22"/>
          <w:szCs w:val="22"/>
          <w:rFonts w:ascii="Times New Roman" w:hAnsi="Times New Roman"/>
        </w:rPr>
        <w:t xml:space="preserve">Dans le cadre de ce </w:t>
      </w:r>
      <w:r w:rsidR="005e19c9">
        <w:rPr>
          <w:sz w:val="22"/>
          <w:szCs w:val="22"/>
          <w:rFonts w:ascii="Times New Roman" w:hAnsi="Times New Roman"/>
        </w:rPr>
        <w:t xml:space="preserve">second mandat, </w:t>
      </w:r>
      <w:r w:rsidR="005e19c9" w:rsidRPr="004a7357">
        <w:rPr>
          <w:sz w:val="22"/>
          <w:szCs w:val="22"/>
          <w:rFonts w:ascii="Times New Roman" w:hAnsi="Times New Roman"/>
        </w:rPr>
        <w:t xml:space="preserve"> </w:t>
      </w:r>
      <w:r w:rsidR="005e19c9">
        <w:rPr>
          <w:sz w:val="22"/>
          <w:szCs w:val="22"/>
          <w:rFonts w:ascii="Times New Roman" w:hAnsi="Times New Roman"/>
        </w:rPr>
        <w:t xml:space="preserve">le groupe de travail du CNC a notamment dress</w:t>
      </w:r>
      <w:r w:rsidR="0084117f">
        <w:rPr>
          <w:sz w:val="22"/>
          <w:szCs w:val="22"/>
          <w:rFonts w:ascii="Times New Roman" w:hAnsi="Times New Roman"/>
        </w:rPr>
        <w:t xml:space="preserve">é</w:t>
      </w:r>
      <w:r w:rsidR="005e19c9">
        <w:rPr>
          <w:sz w:val="22"/>
          <w:szCs w:val="22"/>
          <w:rFonts w:ascii="Times New Roman" w:hAnsi="Times New Roman"/>
        </w:rPr>
        <w:t xml:space="preserve"> un état des lieux de </w:t>
      </w:r>
      <w:r w:rsidR="0084117f">
        <w:rPr>
          <w:sz w:val="22"/>
          <w:szCs w:val="22"/>
          <w:rFonts w:ascii="Times New Roman" w:hAnsi="Times New Roman"/>
        </w:rPr>
        <w:t xml:space="preserve">la distribution de ces produits.</w:t>
      </w:r>
      <w:r w:rsidR="005e19c9">
        <w:rPr>
          <w:sz w:val="22"/>
          <w:szCs w:val="22"/>
          <w:rFonts w:ascii="Times New Roman" w:hAnsi="Times New Roman"/>
        </w:rPr>
        <w:t xml:space="preserve"> </w:t>
      </w:r>
      <w:r w:rsidR="0084117f">
        <w:rPr>
          <w:sz w:val="22"/>
          <w:szCs w:val="22"/>
          <w:rFonts w:ascii="Times New Roman" w:hAnsi="Times New Roman"/>
        </w:rPr>
        <w:t xml:space="preserve">Dans le cadre </w:t>
      </w:r>
      <w:r w:rsidR="005e19c9" w:rsidRPr="004a7357">
        <w:rPr>
          <w:sz w:val="22"/>
          <w:szCs w:val="22"/>
          <w:rFonts w:ascii="Times New Roman" w:hAnsi="Times New Roman"/>
        </w:rPr>
        <w:t xml:space="preserve">d’</w:t>
      </w:r>
      <w:r w:rsidR="0084117f">
        <w:rPr>
          <w:sz w:val="22"/>
          <w:szCs w:val="22"/>
          <w:rFonts w:ascii="Times New Roman" w:hAnsi="Times New Roman"/>
        </w:rPr>
        <w:t xml:space="preserve">une enquête menée par la DGCCRF, </w:t>
      </w:r>
      <w:r w:rsidR="005e19c9" w:rsidRPr="004a7357">
        <w:rPr>
          <w:sz w:val="22"/>
          <w:szCs w:val="22"/>
          <w:rFonts w:ascii="Times New Roman" w:hAnsi="Times New Roman"/>
        </w:rPr>
        <w:t xml:space="preserve">des relevés de prix comparatifs ont </w:t>
      </w:r>
      <w:r w:rsidR="0084117f">
        <w:rPr>
          <w:sz w:val="22"/>
          <w:szCs w:val="22"/>
          <w:rFonts w:ascii="Times New Roman" w:hAnsi="Times New Roman"/>
        </w:rPr>
        <w:t xml:space="preserve">été </w:t>
      </w:r>
      <w:r w:rsidR="005e19c9" w:rsidRPr="004a7357">
        <w:rPr>
          <w:sz w:val="22"/>
          <w:szCs w:val="22"/>
          <w:rFonts w:ascii="Times New Roman" w:hAnsi="Times New Roman"/>
        </w:rPr>
        <w:t xml:space="preserve">effectués en pharmacie, parapharmacie et GMS sur une quinzaine de produits dits frontières. </w:t>
      </w:r>
      <w:r w:rsidR="005e19c9">
        <w:rPr>
          <w:sz w:val="22"/>
          <w:szCs w:val="22"/>
          <w:rFonts w:ascii="Times New Roman" w:hAnsi="Times New Roman"/>
        </w:rPr>
      </w:r>
    </w:p>
    <w:p w:rsidP="005e19c9">
      <w:pPr>
        <w:pStyle w:val="Normal"/>
        <w:rPr>
          <w:b/>
          <w:sz w:val="22"/>
          <w:szCs w:val="22"/>
          <w:rFonts w:ascii="Times New Roman" w:hAnsi="Times New Roman"/>
        </w:rPr>
        <w:overflowPunct/>
        <w:jc w:val="both"/>
      </w:pPr>
      <w:r w:rsidR="005e19c9" w:rsidRPr="0084117f">
        <w:rPr>
          <w:b/>
          <w:sz w:val="22"/>
          <w:szCs w:val="22"/>
          <w:rFonts w:ascii="Times New Roman" w:hAnsi="Times New Roman"/>
        </w:rPr>
      </w:r>
    </w:p>
    <w:p w:rsidP="005e19c9">
      <w:pPr>
        <w:pStyle w:val="Normal"/>
        <w:rPr>
          <w:b/>
          <w:spacing w:val="0"/>
          <w:sz w:val="22"/>
          <w:szCs w:val="22"/>
          <w:rFonts w:ascii="Times New Roman" w:hAnsi="Times New Roman"/>
        </w:rPr>
        <w:overflowPunct/>
        <w:jc w:val="both"/>
      </w:pPr>
      <w:r w:rsidR="005e19c9" w:rsidRPr="0084117f">
        <w:rPr>
          <w:b/>
          <w:sz w:val="22"/>
          <w:szCs w:val="22"/>
          <w:rFonts w:ascii="Times New Roman" w:hAnsi="Times New Roman"/>
        </w:rPr>
        <w:t xml:space="preserve">Cette enquête a mis en évidence que tous les produits relevés sont vendus en GMS, en moyenne, à des prix  de 20 à 30% inférieurs à ceux pratiqués en pharmacie (et trois fois moins chers dans le cas des produits d'entretien pour lentilles).</w:t>
      </w:r>
      <w:r w:rsidR="005e19c9" w:rsidRPr="0084117f">
        <w:rPr>
          <w:b/>
          <w:spacing w:val="0"/>
          <w:sz w:val="22"/>
          <w:szCs w:val="22"/>
          <w:rFonts w:ascii="Times New Roman" w:hAnsi="Times New Roman"/>
        </w:rPr>
      </w:r>
    </w:p>
    <w:p w:rsidP="005e19c9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5e19c9">
        <w:rPr>
          <w:spacing w:val="0"/>
          <w:sz w:val="22"/>
          <w:szCs w:val="22"/>
          <w:rFonts w:ascii="Times New Roman" w:hAnsi="Times New Roman"/>
        </w:rPr>
      </w:r>
    </w:p>
    <w:p w:rsidP="005e19c9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e61bad">
        <w:rPr>
          <w:spacing w:val="0"/>
          <w:sz w:val="22"/>
          <w:szCs w:val="22"/>
          <w:rFonts w:ascii="Times New Roman" w:hAnsi="Times New Roman"/>
        </w:rPr>
        <w:t xml:space="preserve">Au terme de ces travaux, le CNC a constaté que :</w:t>
      </w:r>
    </w:p>
    <w:p w:rsidP="005e19c9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8c717b">
        <w:rPr>
          <w:spacing w:val="0"/>
          <w:sz w:val="22"/>
          <w:szCs w:val="22"/>
          <w:rFonts w:ascii="Times New Roman" w:hAnsi="Times New Roman"/>
        </w:rPr>
      </w:r>
    </w:p>
    <w:p w:rsidP="00e61ba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  <w:numPr>
          <w:ilvl w:val="0"/>
          <w:numId w:val="2"/>
        </w:numPr>
      </w:pPr>
      <w:r w:rsidR="00e61bad">
        <w:rPr>
          <w:spacing w:val="0"/>
          <w:sz w:val="22"/>
          <w:szCs w:val="22"/>
          <w:rFonts w:ascii="Times New Roman" w:hAnsi="Times New Roman"/>
        </w:rPr>
        <w:t xml:space="preserve">le monopole des pharmaciens en France est particulièrement étendu au regard de la situation des autres Etats membres</w:t>
      </w:r>
      <w:r w:rsidR="0084117f">
        <w:rPr>
          <w:spacing w:val="0"/>
          <w:sz w:val="22"/>
          <w:szCs w:val="22"/>
          <w:rFonts w:ascii="Times New Roman" w:hAnsi="Times New Roman"/>
        </w:rPr>
        <w:t xml:space="preserve">.</w:t>
      </w:r>
      <w:r w:rsidR="00e61bad">
        <w:rPr>
          <w:spacing w:val="0"/>
          <w:sz w:val="22"/>
          <w:szCs w:val="22"/>
          <w:rFonts w:ascii="Times New Roman" w:hAnsi="Times New Roman"/>
        </w:rPr>
      </w:r>
    </w:p>
    <w:p w:rsidP="00f87bbf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  <w:numPr>
          <w:ilvl w:val="0"/>
          <w:numId w:val="2"/>
        </w:numPr>
      </w:pPr>
      <w:r w:rsidR="00f87bbf">
        <w:rPr>
          <w:spacing w:val="0"/>
          <w:sz w:val="22"/>
          <w:bCs/>
          <w:szCs w:val="22"/>
          <w:rFonts w:ascii="Times New Roman" w:hAnsi="Times New Roman"/>
        </w:rPr>
        <w:t xml:space="preserve">L</w:t>
      </w:r>
      <w:r w:rsidR="00f87bbf" w:rsidRPr="00f87bbf">
        <w:rPr>
          <w:spacing w:val="0"/>
          <w:sz w:val="22"/>
          <w:bCs/>
          <w:szCs w:val="22"/>
          <w:rFonts w:ascii="Times New Roman" w:hAnsi="Times New Roman"/>
        </w:rPr>
        <w:t xml:space="preserve">a sécurité des produits est pleinement assurée par la législation communautaire</w:t>
      </w:r>
      <w:r w:rsidR="00f87bbf" w:rsidRPr="00901c33">
        <w:rPr>
          <w:b/>
          <w:spacing w:val="0"/>
          <w:sz w:val="22"/>
          <w:bCs/>
          <w:szCs w:val="22"/>
          <w:rFonts w:ascii="Times New Roman" w:hAnsi="Times New Roman"/>
        </w:rPr>
        <w:t xml:space="preserve">,</w:t>
      </w:r>
      <w:r w:rsidR="00f87bbf" w:rsidRPr="004a7357">
        <w:rPr>
          <w:spacing w:val="0"/>
          <w:sz w:val="22"/>
          <w:bCs/>
          <w:szCs w:val="22"/>
          <w:rFonts w:ascii="Times New Roman" w:hAnsi="Times New Roman"/>
        </w:rPr>
        <w:t xml:space="preserve"> transposée en droit national, qui prévoit des « </w:t>
      </w:r>
      <w:r w:rsidR="00f87bbf" w:rsidRPr="004a7357">
        <w:rPr>
          <w:spacing w:val="0"/>
          <w:sz w:val="22"/>
          <w:bCs/>
          <w:iCs/>
          <w:szCs w:val="22"/>
          <w:rFonts w:ascii="Times New Roman" w:hAnsi="Times New Roman"/>
        </w:rPr>
        <w:t xml:space="preserve">obligations minimales de qualité et de sécurité pour leur commercialisation </w:t>
      </w:r>
      <w:r w:rsidR="00f87bbf" w:rsidRPr="004a7357">
        <w:rPr>
          <w:spacing w:val="0"/>
          <w:sz w:val="22"/>
          <w:bCs/>
          <w:szCs w:val="22"/>
          <w:rFonts w:ascii="Times New Roman" w:hAnsi="Times New Roman"/>
        </w:rPr>
        <w:t xml:space="preserve">». </w:t>
      </w:r>
      <w:r w:rsidR="00f87bbf" w:rsidRPr="00f87bbf">
        <w:rPr>
          <w:spacing w:val="0"/>
          <w:sz w:val="22"/>
          <w:szCs w:val="22"/>
          <w:rFonts w:ascii="Times New Roman" w:hAnsi="Times New Roman"/>
        </w:rPr>
      </w:r>
    </w:p>
    <w:p w:rsidP="00f87bbf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  <w:numPr>
          <w:ilvl w:val="0"/>
          <w:numId w:val="2"/>
        </w:numPr>
      </w:pPr>
      <w:r w:rsidR="00f87bbf">
        <w:rPr>
          <w:spacing w:val="0"/>
          <w:sz w:val="22"/>
          <w:szCs w:val="22"/>
          <w:rFonts w:ascii="Times New Roman" w:hAnsi="Times New Roman"/>
        </w:rPr>
        <w:t xml:space="preserve">La sécurité de ces produits relève de la responsabilité des fabricants et non du mode de distribution</w:t>
      </w:r>
      <w:r w:rsidR="0084117f">
        <w:rPr>
          <w:spacing w:val="0"/>
          <w:sz w:val="22"/>
          <w:szCs w:val="22"/>
          <w:rFonts w:ascii="Times New Roman" w:hAnsi="Times New Roman"/>
        </w:rPr>
        <w:t xml:space="preserve">.</w:t>
      </w:r>
      <w:r w:rsidR="00f87bbf">
        <w:rPr>
          <w:spacing w:val="0"/>
          <w:sz w:val="22"/>
          <w:szCs w:val="22"/>
          <w:rFonts w:ascii="Times New Roman" w:hAnsi="Times New Roman"/>
        </w:rPr>
      </w:r>
    </w:p>
    <w:p w:rsidP="00e61ba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  <w:numPr>
          <w:ilvl w:val="0"/>
          <w:numId w:val="2"/>
        </w:numPr>
      </w:pPr>
      <w:r w:rsidR="00e61bad">
        <w:rPr>
          <w:spacing w:val="0"/>
          <w:sz w:val="22"/>
          <w:szCs w:val="22"/>
          <w:rFonts w:ascii="Times New Roman" w:hAnsi="Times New Roman"/>
        </w:rPr>
        <w:t xml:space="preserve">Un certain nombre de produits sont déjà disponibles dans les GMS et parapharmacie</w:t>
      </w:r>
      <w:r w:rsidR="00f87bbf">
        <w:rPr>
          <w:spacing w:val="0"/>
          <w:sz w:val="22"/>
          <w:szCs w:val="22"/>
          <w:rFonts w:ascii="Times New Roman" w:hAnsi="Times New Roman"/>
        </w:rPr>
        <w:t xml:space="preserve">, mais avec un risque permanent de procès et une forte insécurité juridique pour l’ensemble de professionnels de la distribution.</w:t>
      </w:r>
      <w:r w:rsidR="00e61bad">
        <w:rPr>
          <w:spacing w:val="0"/>
          <w:sz w:val="22"/>
          <w:szCs w:val="22"/>
          <w:rFonts w:ascii="Times New Roman" w:hAnsi="Times New Roman"/>
        </w:rPr>
      </w:r>
    </w:p>
    <w:p w:rsidP="0084117f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ind w:left="360"/>
        <w:jc w:val="both"/>
      </w:pPr>
      <w:r w:rsidR="00f87bbf" w:rsidRPr="004a7357">
        <w:rPr>
          <w:spacing w:val="0"/>
          <w:sz w:val="22"/>
          <w:szCs w:val="22"/>
          <w:rFonts w:ascii="Times New Roman" w:hAnsi="Times New Roman"/>
        </w:rPr>
      </w:r>
    </w:p>
    <w:p w:rsidP="005e19c9">
      <w:pPr>
        <w:pStyle w:val="Normal"/>
        <w:rPr>
          <w:b/>
          <w:spacing w:val="0"/>
          <w:sz w:val="22"/>
          <w:bCs/>
          <w:szCs w:val="22"/>
          <w:rFonts w:ascii="Times New Roman" w:hAnsi="Times New Roman"/>
        </w:rPr>
        <w:overflowPunct/>
        <w:jc w:val="both"/>
      </w:pPr>
      <w:r w:rsidR="005e19c9" w:rsidRPr="0084117f">
        <w:rPr>
          <w:b/>
          <w:spacing w:val="0"/>
          <w:sz w:val="22"/>
          <w:szCs w:val="22"/>
          <w:rFonts w:ascii="Times New Roman" w:hAnsi="Times New Roman"/>
        </w:rPr>
        <w:t xml:space="preserve">Le </w:t>
      </w:r>
      <w:r w:rsidR="005e19c9" w:rsidRPr="0084117f">
        <w:rPr>
          <w:b/>
          <w:spacing w:val="0"/>
          <w:sz w:val="22"/>
          <w:bCs/>
          <w:szCs w:val="22"/>
          <w:rFonts w:ascii="Times New Roman" w:hAnsi="Times New Roman"/>
        </w:rPr>
        <w:t xml:space="preserve">5 février 2005</w:t>
      </w:r>
      <w:r w:rsidR="005e19c9" w:rsidRPr="0084117f">
        <w:rPr>
          <w:b/>
          <w:spacing w:val="0"/>
          <w:sz w:val="22"/>
          <w:szCs w:val="22"/>
          <w:rFonts w:ascii="Times New Roman" w:hAnsi="Times New Roman"/>
        </w:rPr>
        <w:t xml:space="preserve">, le CNC a rendu son </w:t>
      </w:r>
      <w:r w:rsidR="0084117f">
        <w:rPr>
          <w:b/>
          <w:spacing w:val="0"/>
          <w:sz w:val="22"/>
          <w:bCs/>
          <w:szCs w:val="22"/>
          <w:rFonts w:ascii="Times New Roman" w:hAnsi="Times New Roman"/>
        </w:rPr>
        <w:t xml:space="preserve">second avis :</w:t>
      </w:r>
    </w:p>
    <w:p w:rsidP="005e19c9">
      <w:pPr>
        <w:pStyle w:val="Normal"/>
        <w:rPr>
          <w:b/>
          <w:spacing w:val="0"/>
          <w:sz w:val="22"/>
          <w:bCs/>
          <w:szCs w:val="22"/>
          <w:rFonts w:ascii="Times New Roman" w:hAnsi="Times New Roman"/>
        </w:rPr>
        <w:overflowPunct/>
        <w:jc w:val="both"/>
      </w:pPr>
      <w:r w:rsidR="008c717b">
        <w:rPr>
          <w:b/>
          <w:spacing w:val="0"/>
          <w:sz w:val="22"/>
          <w:bCs/>
          <w:szCs w:val="22"/>
          <w:rFonts w:ascii="Times New Roman" w:hAnsi="Times New Roman"/>
        </w:rPr>
      </w:r>
    </w:p>
    <w:p w:rsidP="0084117f">
      <w:pPr>
        <w:pStyle w:val="Normal"/>
        <w:rPr>
          <w:b/>
          <w:spacing w:val="0"/>
          <w:sz w:val="22"/>
          <w:szCs w:val="22"/>
          <w:rFonts w:ascii="Times New Roman" w:hAnsi="Times New Roman"/>
        </w:rPr>
        <w:overflowPunct/>
        <w:jc w:val="both"/>
        <w:numPr>
          <w:ilvl w:val="0"/>
          <w:numId w:val="2"/>
        </w:numPr>
      </w:pPr>
      <w:r w:rsidR="00e9159c">
        <w:rPr>
          <w:b/>
          <w:spacing w:val="0"/>
          <w:sz w:val="22"/>
          <w:szCs w:val="22"/>
          <w:rFonts w:ascii="Times New Roman" w:hAnsi="Times New Roman"/>
        </w:rPr>
        <w:t xml:space="preserve">P</w:t>
      </w:r>
      <w:r w:rsidR="005e19c9" w:rsidRPr="0084117f">
        <w:rPr>
          <w:b/>
          <w:spacing w:val="0"/>
          <w:sz w:val="22"/>
          <w:szCs w:val="22"/>
          <w:rFonts w:ascii="Times New Roman" w:hAnsi="Times New Roman"/>
        </w:rPr>
        <w:t xml:space="preserve">roposant que soit mis hors monopole des pharmacies et vendus dans tous les réseaux de distribution, une liste de produits jusqu’à présent couverts par l’article L.4211-1 du </w:t>
      </w:r>
      <w:r w:rsidR="00044193" w:rsidRPr="0084117f">
        <w:rPr>
          <w:b/>
          <w:spacing w:val="0"/>
          <w:sz w:val="22"/>
          <w:szCs w:val="22"/>
          <w:rFonts w:ascii="Times New Roman" w:hAnsi="Times New Roman"/>
        </w:rPr>
        <w:t xml:space="preserve">Code de la santé publique</w:t>
      </w:r>
      <w:r w:rsidR="005645a3">
        <w:rPr>
          <w:b/>
          <w:spacing w:val="0"/>
          <w:sz w:val="22"/>
          <w:szCs w:val="22"/>
          <w:rFonts w:ascii="Times New Roman" w:hAnsi="Times New Roman"/>
        </w:rPr>
        <w:t xml:space="preserve"> ;</w:t>
      </w:r>
      <w:r w:rsidR="005e19c9">
        <w:rPr>
          <w:b/>
          <w:spacing w:val="0"/>
          <w:sz w:val="22"/>
          <w:szCs w:val="22"/>
          <w:rFonts w:ascii="Times New Roman" w:hAnsi="Times New Roman"/>
        </w:rPr>
      </w:r>
    </w:p>
    <w:p w:rsidP="00d2532c">
      <w:pPr>
        <w:pStyle w:val="Normal"/>
        <w:rPr>
          <w:b/>
          <w:spacing w:val="0"/>
          <w:sz w:val="22"/>
          <w:szCs w:val="22"/>
          <w:rFonts w:ascii="Times New Roman" w:hAnsi="Times New Roman"/>
        </w:rPr>
        <w:overflowPunct/>
        <w:ind w:left="360"/>
        <w:jc w:val="both"/>
      </w:pPr>
      <w:r w:rsidR="00d2532c" w:rsidRPr="0041473d">
        <w:rPr>
          <w:b/>
          <w:spacing w:val="0"/>
          <w:sz w:val="22"/>
          <w:szCs w:val="22"/>
          <w:rFonts w:ascii="Times New Roman" w:hAnsi="Times New Roman"/>
        </w:rPr>
      </w:r>
    </w:p>
    <w:p w:rsidP="00d2532c">
      <w:pPr>
        <w:pStyle w:val="Normal"/>
        <w:rPr>
          <w:b/>
          <w:spacing w:val="0"/>
          <w:sz w:val="22"/>
          <w:szCs w:val="22"/>
          <w:rFonts w:ascii="Times New Roman" w:hAnsi="Times New Roman"/>
        </w:rPr>
        <w:overflowPunct/>
        <w:jc w:val="both"/>
        <w:numPr>
          <w:ilvl w:val="0"/>
          <w:numId w:val="2"/>
        </w:numPr>
      </w:pPr>
      <w:r w:rsidR="00e9159c" w:rsidRPr="0041473d">
        <w:rPr>
          <w:b/>
          <w:spacing w:val="0"/>
          <w:sz w:val="22"/>
          <w:szCs w:val="22"/>
          <w:rFonts w:ascii="Times New Roman" w:hAnsi="Times New Roman"/>
        </w:rPr>
        <w:t xml:space="preserve">R</w:t>
      </w:r>
      <w:r w:rsidR="0084117f" w:rsidRPr="0041473d">
        <w:rPr>
          <w:b/>
          <w:spacing w:val="0"/>
          <w:sz w:val="22"/>
          <w:szCs w:val="22"/>
          <w:rFonts w:ascii="Times New Roman" w:hAnsi="Times New Roman"/>
        </w:rPr>
        <w:t xml:space="preserve">ecommandant au Ministre de la Consommation </w:t>
      </w:r>
      <w:r w:rsidR="00d2532c" w:rsidRPr="0041473d">
        <w:rPr>
          <w:b/>
          <w:spacing w:val="0"/>
          <w:sz w:val="22"/>
          <w:szCs w:val="22"/>
          <w:rFonts w:ascii="Times New Roman" w:hAnsi="Times New Roman"/>
        </w:rPr>
        <w:t xml:space="preserve">de proposer au Ministre de la santé de modifier en conséquence l’article L. 4211-1 du Code de la santé publique</w:t>
      </w:r>
    </w:p>
    <w:p w:rsidP="00d2532c">
      <w:pPr>
        <w:pStyle w:val="Normal"/>
        <w:rPr>
          <w:b/>
          <w:spacing w:val="0"/>
          <w:sz w:val="22"/>
          <w:szCs w:val="22"/>
          <w:rFonts w:ascii="Times New Roman" w:hAnsi="Times New Roman"/>
        </w:rPr>
        <w:overflowPunct/>
        <w:jc w:val="both"/>
      </w:pPr>
      <w:r w:rsidR="00d2532c">
        <w:rPr>
          <w:b/>
          <w:spacing w:val="0"/>
          <w:sz w:val="22"/>
          <w:szCs w:val="22"/>
          <w:rFonts w:ascii="Times New Roman" w:hAnsi="Times New Roman"/>
        </w:rPr>
      </w:r>
    </w:p>
    <w:p w:rsidP="0084117f">
      <w:pPr>
        <w:pStyle w:val="Normal"/>
        <w:rPr>
          <w:b/>
          <w:spacing w:val="0"/>
          <w:sz w:val="22"/>
          <w:szCs w:val="22"/>
          <w:rFonts w:ascii="Times New Roman" w:hAnsi="Times New Roman"/>
        </w:rPr>
        <w:overflowPunct/>
        <w:ind w:left="360"/>
        <w:jc w:val="both"/>
      </w:pPr>
      <w:r w:rsidR="0084117f" w:rsidRPr="0084117f">
        <w:rPr>
          <w:b/>
          <w:spacing w:val="0"/>
          <w:sz w:val="22"/>
          <w:szCs w:val="22"/>
          <w:rFonts w:ascii="Times New Roman" w:hAnsi="Times New Roman"/>
        </w:rPr>
      </w:r>
    </w:p>
    <w:p w:rsidP="00f87bbf">
      <w:pPr>
        <w:pStyle w:val="Normal"/>
        <w:rPr>
          <w:sz w:val="22"/>
          <w:szCs w:val="22"/>
          <w:rFonts w:ascii="Times New Roman" w:hAnsi="Times New Roman"/>
          <w:color w:val="000000"/>
        </w:rPr>
        <w:overflowPunct/>
        <w:jc w:val="both"/>
      </w:pPr>
      <w:r w:rsidR="00f87bbf" w:rsidRPr="00901c33">
        <w:rPr>
          <w:b/>
          <w:spacing w:val="0"/>
          <w:sz w:val="22"/>
          <w:bCs/>
          <w:szCs w:val="22"/>
          <w:rFonts w:ascii="Times New Roman" w:hAnsi="Times New Roman"/>
        </w:rPr>
        <w:t xml:space="preserve">Ce second avis est, lui aussi,</w:t>
      </w:r>
      <w:r w:rsidR="00f87bbf">
        <w:rPr>
          <w:b/>
          <w:spacing w:val="0"/>
          <w:sz w:val="22"/>
          <w:bCs/>
          <w:szCs w:val="22"/>
          <w:rFonts w:ascii="Times New Roman" w:hAnsi="Times New Roman"/>
        </w:rPr>
        <w:t xml:space="preserve"> resté lettre morte</w:t>
      </w:r>
      <w:r w:rsidR="00f87bbf" w:rsidRPr="00f87bbf">
        <w:rPr>
          <w:spacing w:val="0"/>
          <w:sz w:val="22"/>
          <w:bCs/>
          <w:szCs w:val="22"/>
          <w:rFonts w:ascii="Times New Roman" w:hAnsi="Times New Roman"/>
        </w:rPr>
        <w:t xml:space="preserve">, alors même que le CNC, qui a été réformé en mars 2005</w:t>
      </w:r>
      <w:r w:rsidR="00f87bbf">
        <w:rPr>
          <w:b/>
          <w:spacing w:val="0"/>
          <w:sz w:val="22"/>
          <w:bCs/>
          <w:szCs w:val="22"/>
          <w:rFonts w:ascii="Times New Roman" w:hAnsi="Times New Roman"/>
        </w:rPr>
        <w:t xml:space="preserve">, </w:t>
      </w:r>
      <w:r w:rsidR="00f87bbf">
        <w:rPr>
          <w:spacing w:val="0"/>
          <w:sz w:val="22"/>
          <w:szCs w:val="22"/>
          <w:rFonts w:ascii="Times New Roman" w:hAnsi="Times New Roman"/>
        </w:rPr>
        <w:t xml:space="preserve">visait </w:t>
      </w:r>
      <w:r w:rsidR="00f87bbf" w:rsidRPr="00901c33">
        <w:rPr>
          <w:i/>
          <w:spacing w:val="0"/>
          <w:sz w:val="22"/>
          <w:szCs w:val="22"/>
          <w:rFonts w:ascii="Times New Roman" w:hAnsi="Times New Roman"/>
        </w:rPr>
        <w:t xml:space="preserve">« </w:t>
      </w:r>
      <w:r w:rsidR="00f87bbf" w:rsidRPr="00901c33">
        <w:rPr>
          <w:i/>
          <w:sz w:val="22"/>
          <w:szCs w:val="22"/>
          <w:rFonts w:ascii="Times New Roman" w:hAnsi="Times New Roman"/>
          <w:color w:val="000000"/>
        </w:rPr>
        <w:t xml:space="preserve">une plus grande réactivité du CNC par le renforcement du rôle du bureau qui devient une véritable instance exécutive »</w:t>
      </w:r>
      <w:r w:rsidR="00f87bbf" w:rsidRPr="004a7357">
        <w:rPr>
          <w:sz w:val="22"/>
          <w:szCs w:val="22"/>
          <w:rFonts w:ascii="Times New Roman" w:hAnsi="Times New Roman"/>
          <w:color w:val="000000"/>
        </w:rPr>
        <w:t xml:space="preserve"> </w:t>
      </w:r>
      <w:r w:rsidR="00f87bbf">
        <w:rPr>
          <w:sz w:val="22"/>
          <w:szCs w:val="22"/>
          <w:rFonts w:ascii="Times New Roman" w:hAnsi="Times New Roman"/>
          <w:color w:val="000000"/>
        </w:rPr>
      </w:r>
    </w:p>
    <w:p w:rsidP="00d2532c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d2532c">
        <w:rPr>
          <w:spacing w:val="0"/>
          <w:sz w:val="22"/>
          <w:szCs w:val="22"/>
          <w:rFonts w:ascii="Times New Roman" w:hAnsi="Times New Roman"/>
        </w:rPr>
      </w:r>
    </w:p>
    <w:p w:rsidP="00f87bbf">
      <w:pPr>
        <w:pStyle w:val="Normal"/>
        <w:rPr>
          <w:b/>
          <w:spacing w:val="0"/>
          <w:sz w:val="22"/>
          <w:bCs/>
          <w:szCs w:val="22"/>
          <w:rFonts w:ascii="Times New Roman" w:hAnsi="Times New Roman"/>
        </w:rPr>
        <w:overflowPunct/>
        <w:jc w:val="both"/>
      </w:pPr>
      <w:r w:rsidR="00d2532c" w:rsidRPr="00f87bbf">
        <w:rPr>
          <w:b/>
          <w:spacing w:val="0"/>
          <w:sz w:val="22"/>
          <w:bCs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750c3d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d2532c">
        <w:rPr>
          <w:spacing w:val="0"/>
          <w:sz w:val="22"/>
          <w:szCs w:val="22"/>
          <w:rFonts w:ascii="Times New Roman" w:hAnsi="Times New Roman"/>
        </w:rPr>
      </w:r>
    </w:p>
    <w:p w:rsidP="006c5c77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autoSpaceDE/>
        <w:autoSpaceDN/>
        <w:jc w:val="center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</w:pPr>
      <w:r w:rsidR="00d2532c" w:rsidRPr="004a7357">
        <w:rPr>
          <w:spacing w:val="0"/>
          <w:sz w:val="22"/>
          <w:szCs w:val="22"/>
          <w:rFonts w:ascii="Times New Roman" w:hAnsi="Times New Roman"/>
        </w:rPr>
      </w:r>
    </w:p>
    <w:p w:rsidP="006c5c77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autoSpaceDE/>
        <w:autoSpaceDN/>
        <w:jc w:val="center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</w:pPr>
      <w:r w:rsidR="00d2532c" w:rsidRPr="004a7357">
        <w:rPr>
          <w:spacing w:val="0"/>
          <w:sz w:val="22"/>
          <w:szCs w:val="22"/>
          <w:rFonts w:ascii="Times New Roman" w:hAnsi="Times New Roman"/>
        </w:rPr>
        <w:t xml:space="preserve">Documents en consultation publique :</w:t>
      </w:r>
    </w:p>
    <w:p w:rsidP="006c5c77">
      <w:pPr>
        <w:pStyle w:val="Normal"/>
        <w:rPr>
          <w:spacing w:val="0"/>
          <w:sz w:val="22"/>
          <w:szCs w:val="22"/>
          <w:rFonts w:ascii="Times New Roman" w:hAnsi="Times New Roman"/>
          <w:color w:val="0000ff"/>
        </w:rPr>
        <w:overflowPunct/>
        <w:autoSpaceDE/>
        <w:autoSpaceDN/>
        <w:jc w:val="center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</w:pPr>
      <w:r w:rsidR="00d2532c" w:rsidRPr="004a7357">
        <w:rPr>
          <w:spacing w:val="0"/>
          <w:sz w:val="22"/>
          <w:szCs w:val="22"/>
          <w:rFonts w:ascii="Times New Roman" w:hAnsi="Times New Roman"/>
          <w:color w:val="0000ff"/>
        </w:rPr>
      </w:r>
    </w:p>
    <w:p w:rsidP="006c5c77">
      <w:pPr>
        <w:pStyle w:val="Normal"/>
        <w:rPr>
          <w:sz w:val="22"/>
          <w:szCs w:val="22"/>
          <w:rFonts w:ascii="Times New Roman" w:hAnsi="Times New Roman"/>
          <w:color w:val="0000ff"/>
        </w:rPr>
        <w:overflowPunct/>
        <w:autoSpaceDE/>
        <w:autoSpaceDN/>
        <w:jc w:val="center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</w:pPr>
      <w:r w:rsidR="00d2532c" w:rsidRPr="004a7357">
        <w:rPr>
          <w:sz w:val="22"/>
          <w:szCs w:val="22"/>
          <w:rFonts w:ascii="Times New Roman" w:hAnsi="Times New Roman"/>
          <w:color w:val="0000ff"/>
        </w:rPr>
        <w:fldChar w:fldCharType="begin"/>
      </w:r>
      <w:r w:rsidR="00d2532c" w:rsidRPr="004a7357">
        <w:rPr>
          <w:sz w:val="22"/>
          <w:szCs w:val="22"/>
          <w:rFonts w:ascii="Times New Roman" w:hAnsi="Times New Roman"/>
          <w:color w:val="0000ff"/>
        </w:rPr>
        <w:instrText xml:space="preserve"> HYPERLINK "http://www.conseilconsommation.minefi.gouv.fr/avis/2005/parapharmacie_avis.pdf" \t "_blank" </w:instrText>
      </w:r>
      <w:r w:rsidR="00d2532c" w:rsidRPr="004a7357">
        <w:rPr>
          <w:sz w:val="22"/>
          <w:szCs w:val="22"/>
          <w:rFonts w:ascii="Times New Roman" w:hAnsi="Times New Roman"/>
          <w:color w:val="0000ff"/>
        </w:rPr>
        <w:fldChar w:fldCharType="separate"/>
      </w:r>
      <w:r w:rsidR="00d2532c" w:rsidRPr="004a7357">
        <w:rPr>
          <w:rStyle w:val="Hyperlink"/>
          <w:sz w:val="22"/>
          <w:szCs w:val="22"/>
          <w:rFonts w:ascii="Times New Roman" w:hAnsi="Times New Roman"/>
          <w:color w:val="0000ff"/>
        </w:rPr>
        <w:instrText xml:space="preserve">&gt;&gt; Avis du CNC</w:instrText>
      </w:r>
      <w:r w:rsidR="00d2532c" w:rsidRPr="004a7357">
        <w:rPr>
          <w:sz w:val="22"/>
          <w:szCs w:val="22"/>
          <w:rFonts w:ascii="Times New Roman" w:hAnsi="Times New Roman"/>
          <w:color w:val="0000ff"/>
        </w:rPr>
        <w:fldChar w:fldCharType="end"/>
      </w:r>
      <w:r w:rsidR="00d2532c">
        <w:rPr>
          <w:sz w:val="22"/>
          <w:szCs w:val="22"/>
          <w:rFonts w:ascii="Times New Roman" w:hAnsi="Times New Roman"/>
          <w:color w:val="0000ff"/>
        </w:rPr>
        <w:t xml:space="preserve"> :</w:t>
      </w:r>
    </w:p>
    <w:p w:rsidP="006c5c77">
      <w:pPr>
        <w:pStyle w:val="Normal"/>
        <w:rPr>
          <w:sz w:val="22"/>
          <w:szCs w:val="22"/>
          <w:rFonts w:ascii="Times New Roman" w:hAnsi="Times New Roman"/>
          <w:color w:val="0000ff"/>
        </w:rPr>
        <w:overflowPunct/>
        <w:autoSpaceDE/>
        <w:autoSpaceDN/>
        <w:jc w:val="center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</w:pPr>
      <w:r w:rsidR="00d2532c" w:rsidRPr="00d2532c">
        <w:rPr>
          <w:sz w:val="22"/>
          <w:szCs w:val="22"/>
          <w:rFonts w:ascii="Times New Roman" w:hAnsi="Times New Roman"/>
          <w:color w:val="0000ff"/>
        </w:rPr>
        <w:t xml:space="preserve">http://www.conseilconsommation.minefi.gouv.fr/avis/2005/parapharmacie_avis.pdf</w:t>
      </w:r>
    </w:p>
    <w:p w:rsidP="006c5c77">
      <w:pPr>
        <w:pStyle w:val="Normal"/>
        <w:rPr>
          <w:sz w:val="22"/>
          <w:szCs w:val="22"/>
          <w:rFonts w:ascii="Times New Roman" w:hAnsi="Times New Roman"/>
          <w:color w:val="0000ff"/>
        </w:rPr>
        <w:overflowPunct/>
        <w:autoSpaceDE/>
        <w:autoSpaceDN/>
        <w:jc w:val="center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</w:pPr>
      <w:r w:rsidR="00d2532c" w:rsidRPr="004a7357">
        <w:rPr>
          <w:sz w:val="22"/>
          <w:szCs w:val="22"/>
          <w:rFonts w:ascii="Times New Roman" w:hAnsi="Times New Roman"/>
          <w:color w:val="0000ff"/>
        </w:rPr>
        <w:br w:clear="all" w:type="textWrapping"/>
      </w:r>
      <w:r w:rsidR="00d2532c" w:rsidRPr="004a7357">
        <w:rPr>
          <w:sz w:val="22"/>
          <w:szCs w:val="22"/>
          <w:rFonts w:ascii="Times New Roman" w:hAnsi="Times New Roman"/>
          <w:color w:val="0000ff"/>
        </w:rPr>
        <w:fldChar w:fldCharType="begin"/>
      </w:r>
      <w:r w:rsidR="00d2532c" w:rsidRPr="004a7357">
        <w:rPr>
          <w:sz w:val="22"/>
          <w:szCs w:val="22"/>
          <w:rFonts w:ascii="Times New Roman" w:hAnsi="Times New Roman"/>
          <w:color w:val="0000ff"/>
        </w:rPr>
        <w:instrText xml:space="preserve"> HYPERLINK "http://www.conseilconsommation.minefi.gouv.fr/avis/2005/parapharmacie_rapport.pdf" \t "_blank" </w:instrText>
      </w:r>
      <w:r w:rsidR="00d2532c" w:rsidRPr="004a7357">
        <w:rPr>
          <w:sz w:val="22"/>
          <w:szCs w:val="22"/>
          <w:rFonts w:ascii="Times New Roman" w:hAnsi="Times New Roman"/>
          <w:color w:val="0000ff"/>
        </w:rPr>
        <w:fldChar w:fldCharType="separate"/>
      </w:r>
      <w:r w:rsidR="00d2532c" w:rsidRPr="004a7357">
        <w:rPr>
          <w:rStyle w:val="Hyperlink"/>
          <w:sz w:val="22"/>
          <w:szCs w:val="22"/>
          <w:rFonts w:ascii="Times New Roman" w:hAnsi="Times New Roman"/>
          <w:color w:val="0000ff"/>
        </w:rPr>
        <w:instrText xml:space="preserve">&gt;&gt; Rapport du groupe de travail "parapharmacie"</w:instrText>
      </w:r>
      <w:r w:rsidR="00d2532c" w:rsidRPr="004a7357">
        <w:rPr>
          <w:sz w:val="22"/>
          <w:szCs w:val="22"/>
          <w:rFonts w:ascii="Times New Roman" w:hAnsi="Times New Roman"/>
          <w:color w:val="0000ff"/>
        </w:rPr>
        <w:fldChar w:fldCharType="end"/>
      </w:r>
      <w:r w:rsidR="00d2532c">
        <w:rPr>
          <w:sz w:val="22"/>
          <w:szCs w:val="22"/>
          <w:rFonts w:ascii="Times New Roman" w:hAnsi="Times New Roman"/>
          <w:color w:val="0000ff"/>
        </w:rPr>
      </w:r>
    </w:p>
    <w:p w:rsidP="006c5c77">
      <w:pPr>
        <w:pStyle w:val="Normal"/>
        <w:rPr>
          <w:sz w:val="22"/>
          <w:szCs w:val="22"/>
          <w:rFonts w:ascii="Times New Roman" w:hAnsi="Times New Roman"/>
          <w:color w:val="0000ff"/>
        </w:rPr>
        <w:overflowPunct/>
        <w:autoSpaceDE/>
        <w:autoSpaceDN/>
        <w:jc w:val="center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</w:pPr>
      <w:r w:rsidR="00d2532c" w:rsidRPr="00d2532c">
        <w:rPr>
          <w:sz w:val="22"/>
          <w:szCs w:val="22"/>
          <w:rFonts w:ascii="Times New Roman" w:hAnsi="Times New Roman"/>
          <w:color w:val="0000ff"/>
        </w:rPr>
        <w:t xml:space="preserve">http://www.conseilconsommation.minefi.gouv.fr/avis/2005/parapharmacie_rapport.pdf</w:t>
      </w:r>
    </w:p>
    <w:p w:rsidP="006c5c77">
      <w:pPr>
        <w:pStyle w:val="Normal"/>
        <w:rPr>
          <w:spacing w:val="0"/>
          <w:sz w:val="22"/>
          <w:szCs w:val="22"/>
          <w:rFonts w:ascii="Times New Roman" w:hAnsi="Times New Roman"/>
          <w:color w:val="0000ff"/>
        </w:rPr>
        <w:overflowPunct/>
        <w:autoSpaceDE/>
        <w:autoSpaceDN/>
        <w:jc w:val="center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</w:pPr>
      <w:r w:rsidR="00d2532c" w:rsidRPr="004a7357">
        <w:rPr>
          <w:sz w:val="22"/>
          <w:szCs w:val="22"/>
          <w:rFonts w:ascii="Times New Roman" w:hAnsi="Times New Roman"/>
          <w:color w:val="0000ff"/>
        </w:rPr>
        <w:br w:clear="all" w:type="textWrapping"/>
      </w:r>
      <w:r w:rsidR="00d2532c" w:rsidRPr="004a7357">
        <w:rPr>
          <w:spacing w:val="0"/>
          <w:sz w:val="22"/>
          <w:szCs w:val="22"/>
          <w:rFonts w:ascii="Times New Roman" w:hAnsi="Times New Roman"/>
          <w:color w:val="0000ff"/>
        </w:rPr>
      </w:r>
    </w:p>
    <w:p w:rsidP="006c5c77">
      <w:pPr>
        <w:pStyle w:val="Normal"/>
        <w:jc w:val="center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</w:pPr>
      <w:r w:rsidR="00d2532c"/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d2532c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750c3d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750c3d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750c3d">
        <w:rPr>
          <w:spacing w:val="0"/>
          <w:sz w:val="22"/>
          <w:szCs w:val="22"/>
          <w:rFonts w:ascii="Times New Roman" w:hAnsi="Times New Roman"/>
        </w:rPr>
      </w:r>
    </w:p>
    <w:p w:rsidP="00750c3d">
      <w:pPr>
        <w:pStyle w:val="Normal"/>
        <w:rPr>
          <w:spacing w:val="0"/>
          <w:sz w:val="22"/>
          <w:szCs w:val="22"/>
          <w:rFonts w:ascii="Times New Roman" w:hAnsi="Times New Roman"/>
        </w:rPr>
        <w:overflowPunct/>
        <w:jc w:val="both"/>
      </w:pPr>
      <w:r w:rsidR="00750c3d">
        <w:rPr>
          <w:spacing w:val="0"/>
          <w:sz w:val="22"/>
          <w:szCs w:val="22"/>
          <w:rFonts w:ascii="Times New Roman" w:hAnsi="Times New Roman"/>
        </w:rPr>
      </w:r>
    </w:p>
    <w:p>
      <w:pPr>
        <w:pStyle w:val="Normal"/>
      </w:pPr>
      <w:r w:rsidR="009f4e1a"/>
    </w:p>
    <w:sectPr>
      <w:headerReference r:id="rId3" w:type="default"/>
      <w:footerReference r:id="rId4" w:type="even"/>
      <w:footerReference r:id="rId5" w:type="default"/>
      <w:titlePg/>
      <w:type w:val="nextPage"/>
      <w:footnotePr>
        <w:numRestart w:val="continuous"/>
      </w:footnotePr>
      <w:pgSz w:h="16840" w:w="11907"/>
      <w:pgMar w:bottom="1440" w:footer="720" w:gutter="0" w:header="0" w:left="1800" w:right="1800" w:top="1440"/>
      <w:cols w:space="72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charset w:val="00"/>
    <w:family w:val="swiss"/>
    <w:panose1 w:val="020b0604020202020204"/>
    <w:pitch w:val="variable"/>
    <w:sig w:usb0="20007a87" w:usb1="80000000" w:usb2="00000008" w:usb3="00000000" w:csb0="000001ff" w:csb1="00000000"/>
  </w:font>
  <w:font w:name="Courier">
    <w:altName w:val="Courier New"/>
    <w:charset w:val="00"/>
    <w:family w:val="modern"/>
    <w:panose1 w:val="02070409020205020404"/>
    <w:pitch w:val="fixed"/>
    <w:notTrueType w:val="true"/>
    <w:sig w:usb0="00000003" w:usb1="00000000" w:usb2="00000000" w:usb3="00000000" w:csb0="00000001" w:csb1="00000000"/>
  </w:font>
  <w:font w:name="Courier New">
    <w:charset w:val="00"/>
    <w:family w:val="modern"/>
    <w:panose1 w:val="02070309020205020404"/>
    <w:pitch w:val="fixed"/>
    <w:sig w:usb0="20007a87" w:usb1="80000000" w:usb2="00000008" w:usb3="00000000" w:csb0="000001ff" w:csb1="00000000"/>
  </w:font>
  <w:font w:name="Wingdings">
    <w:charset w:val="02"/>
    <w:family w:val="auto"/>
    <w:panose1 w:val="05000000000000000000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991665">
    <w:pPr>
      <w:pStyle w:val="Footer"/>
      <w:rPr>
        <w:rStyle w:val="PageNumber"/>
      </w:rPr>
      <w:framePr w:hAnchor="margin" w:vAnchor="text" w:wrap="around" w:x="-8" w:y="1"/>
    </w:pPr>
    <w:r w:rsidR="00334915">
      <w:rPr>
        <w:rStyle w:val="PageNumber"/>
      </w:rPr>
      <w:fldChar w:fldCharType="begin"/>
    </w:r>
    <w:r w:rsidR="00334915">
      <w:rPr>
        <w:rStyle w:val="PageNumber"/>
      </w:rPr>
      <w:instrText xml:space="preserve">PAGE  </w:instrText>
    </w:r>
    <w:r w:rsidR="00334915">
      <w:rPr>
        <w:rStyle w:val="PageNumber"/>
      </w:rPr>
      <w:fldChar w:fldCharType="end"/>
    </w:r>
    <w:r w:rsidR="00334915">
      <w:rPr>
        <w:rStyle w:val="PageNumber"/>
      </w:rPr>
    </w:r>
  </w:p>
  <w:p w:rsidP="0084117f">
    <w:pPr>
      <w:pStyle w:val="Footer"/>
      <w:ind w:right="360"/>
    </w:pPr>
    <w:r w:rsidR="00334915"/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991665">
    <w:pPr>
      <w:pStyle w:val="Footer"/>
      <w:rPr>
        <w:rStyle w:val="PageNumber"/>
      </w:rPr>
      <w:framePr w:hAnchor="margin" w:vAnchor="text" w:wrap="around" w:x="-8" w:y="1"/>
    </w:pPr>
    <w:r w:rsidR="00334915">
      <w:rPr>
        <w:rStyle w:val="PageNumber"/>
      </w:rPr>
      <w:fldChar w:fldCharType="begin"/>
    </w:r>
    <w:r w:rsidR="00334915">
      <w:rPr>
        <w:rStyle w:val="PageNumber"/>
      </w:rPr>
      <w:instrText xml:space="preserve">PAGE  </w:instrText>
    </w:r>
    <w:r w:rsidR="00334915">
      <w:rPr>
        <w:rStyle w:val="PageNumber"/>
      </w:rPr>
      <w:fldChar w:fldCharType="separate"/>
    </w:r>
    <w:r w:rsidR="00024378">
      <w:rPr>
        <w:rStyle w:val="PageNumber"/>
        <w:noProof/>
      </w:rPr>
      <w:instrText xml:space="preserve">3</w:instrText>
    </w:r>
    <w:r w:rsidR="00334915">
      <w:rPr>
        <w:rStyle w:val="PageNumber"/>
      </w:rPr>
      <w:fldChar w:fldCharType="end"/>
    </w:r>
    <w:r w:rsidR="00334915">
      <w:rPr>
        <w:rStyle w:val="PageNumber"/>
      </w:rPr>
    </w:r>
  </w:p>
  <w:p w:rsidP="0084117f">
    <w:pPr>
      <w:pStyle w:val="Footer"/>
      <w:ind w:right="360"/>
    </w:pPr>
    <w:r w:rsidR="00334915">
      <w:tab/>
      <w:tab/>
    </w:r>
  </w:p>
</w:ftr>
</file>

<file path=word/footnotes.xml><?xml version="1.0" encoding="utf-8"?>
<w:footnotes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footnote w:id="0">
    <w:p w:rsidP="00250374">
      <w:pPr>
        <w:pStyle w:val="BodyText"/>
        <w:rPr>
          <w:sz w:val="18"/>
          <w:szCs w:val="18"/>
          <w:rFonts w:ascii="Times New Roman" w:hAnsi="Times New Roman"/>
        </w:rPr>
        <w:tabs>
          <w:tab w:leader="none" w:pos="426" w:val="num"/>
        </w:tabs>
        <w:overflowPunct/>
        <w:autoSpaceDE/>
        <w:autoSpaceDN/>
        <w:ind w:left="-28"/>
        <w:spacing w:after="0"/>
        <w:jc w:val="both"/>
      </w:pPr>
      <w:r w:rsidR="00334915">
        <w:rPr>
          <w:rStyle w:val="FootnoteReference"/>
        </w:rPr>
        <w:footnoteRef/>
      </w:r>
      <w:r w:rsidR="00334915">
        <w:t xml:space="preserve"> </w:t>
      </w:r>
      <w:r w:rsidR="00334915" w:rsidRPr="00250374">
        <w:rPr>
          <w:b/>
          <w:sz w:val="18"/>
          <w:szCs w:val="18"/>
          <w:rFonts w:ascii="Times New Roman" w:hAnsi="Times New Roman"/>
        </w:rPr>
        <w:t xml:space="preserve">Les dispositifs médicaux</w:t>
      </w:r>
      <w:r w:rsidR="00334915" w:rsidRPr="00250374">
        <w:rPr>
          <w:sz w:val="18"/>
          <w:szCs w:val="18"/>
          <w:rFonts w:ascii="Times New Roman" w:hAnsi="Times New Roman"/>
        </w:rPr>
        <w:t xml:space="preserve"> sont couverts par la directive </w:t>
      </w:r>
      <w:r w:rsidR="00334915" w:rsidRPr="00250374">
        <w:rPr>
          <w:i/>
          <w:sz w:val="18"/>
          <w:szCs w:val="18"/>
          <w:rFonts w:ascii="Times New Roman" w:hAnsi="Times New Roman"/>
        </w:rPr>
        <w:t xml:space="preserve">(CEE) n° 93/42 du Conseil du 14 juin 1993 (</w:t>
      </w:r>
      <w:r w:rsidR="00334915" w:rsidRPr="00250374">
        <w:rPr>
          <w:sz w:val="18"/>
          <w:szCs w:val="18"/>
          <w:rFonts w:ascii="Times New Roman" w:hAnsi="Times New Roman"/>
        </w:rPr>
        <w:t xml:space="preserve">les thermomètres ou les produits d’entretien pour lentilles de contact par exemple);</w:t>
      </w:r>
    </w:p>
    <w:p w:rsidP="00250374">
      <w:pPr>
        <w:pStyle w:val="BodyText"/>
        <w:rPr>
          <w:i/>
          <w:sz w:val="18"/>
          <w:szCs w:val="18"/>
          <w:rFonts w:ascii="Times New Roman" w:hAnsi="Times New Roman"/>
        </w:rPr>
        <w:tabs>
          <w:tab w:leader="none" w:pos="426" w:val="num"/>
        </w:tabs>
        <w:overflowPunct/>
        <w:autoSpaceDE/>
        <w:autoSpaceDN/>
        <w:spacing w:after="0"/>
        <w:jc w:val="both"/>
      </w:pPr>
      <w:r w:rsidR="00334915" w:rsidRPr="00250374">
        <w:rPr>
          <w:b/>
          <w:sz w:val="18"/>
          <w:szCs w:val="18"/>
          <w:rFonts w:ascii="Times New Roman" w:hAnsi="Times New Roman"/>
        </w:rPr>
        <w:t xml:space="preserve">Les compléments alimentaires</w:t>
      </w:r>
      <w:r w:rsidR="00334915" w:rsidRPr="00250374">
        <w:rPr>
          <w:sz w:val="18"/>
          <w:szCs w:val="18"/>
          <w:rFonts w:ascii="Times New Roman" w:hAnsi="Times New Roman"/>
        </w:rPr>
        <w:t xml:space="preserve"> font l’objet de la directive </w:t>
      </w:r>
      <w:r w:rsidR="00334915" w:rsidRPr="00250374">
        <w:rPr>
          <w:i/>
          <w:sz w:val="18"/>
          <w:szCs w:val="18"/>
          <w:rFonts w:ascii="Times New Roman" w:hAnsi="Times New Roman"/>
        </w:rPr>
        <w:t xml:space="preserve">(CE) n° 2002/46 du Parlement européen et du Conseil du 10 juin 2002</w:t>
      </w:r>
      <w:r w:rsidR="00334915">
        <w:rPr>
          <w:i/>
          <w:sz w:val="18"/>
          <w:szCs w:val="18"/>
          <w:rFonts w:ascii="Times New Roman" w:hAnsi="Times New Roman"/>
        </w:rPr>
        <w:t xml:space="preserve"> ;</w:t>
      </w:r>
    </w:p>
    <w:p w:rsidP="00250374">
      <w:pPr>
        <w:pStyle w:val="BodyText"/>
        <w:rPr>
          <w:sz w:val="18"/>
          <w:szCs w:val="18"/>
          <w:rFonts w:ascii="Times New Roman" w:hAnsi="Times New Roman"/>
        </w:rPr>
        <w:tabs>
          <w:tab w:leader="none" w:pos="426" w:val="num"/>
        </w:tabs>
        <w:overflowPunct/>
        <w:autoSpaceDE/>
        <w:autoSpaceDN/>
        <w:spacing w:after="0"/>
        <w:jc w:val="both"/>
      </w:pPr>
      <w:r w:rsidR="00334915" w:rsidRPr="00250374">
        <w:rPr>
          <w:i/>
          <w:sz w:val="18"/>
          <w:szCs w:val="18"/>
          <w:rFonts w:ascii="Times New Roman" w:hAnsi="Times New Roman"/>
        </w:rPr>
        <w:t xml:space="preserve"> </w:t>
      </w:r>
      <w:r w:rsidR="00334915" w:rsidRPr="00250374">
        <w:rPr>
          <w:b/>
          <w:sz w:val="18"/>
          <w:szCs w:val="18"/>
          <w:rFonts w:ascii="Times New Roman" w:hAnsi="Times New Roman"/>
        </w:rPr>
        <w:t xml:space="preserve">Les dispositifs médicaux de diagnostic in vitro</w:t>
      </w:r>
      <w:r w:rsidR="00334915" w:rsidRPr="00250374">
        <w:rPr>
          <w:sz w:val="18"/>
          <w:szCs w:val="18"/>
          <w:rFonts w:ascii="Times New Roman" w:hAnsi="Times New Roman"/>
        </w:rPr>
        <w:t xml:space="preserve"> sont couverts par la directive </w:t>
      </w:r>
      <w:r w:rsidR="00334915" w:rsidRPr="00250374">
        <w:rPr>
          <w:i/>
          <w:sz w:val="18"/>
          <w:szCs w:val="18"/>
          <w:rFonts w:ascii="Times New Roman" w:hAnsi="Times New Roman"/>
        </w:rPr>
        <w:t xml:space="preserve">(CE) n° 98/72 du Parlement</w:t>
      </w:r>
      <w:r w:rsidR="00334915">
        <w:rPr>
          <w:i/>
          <w:sz w:val="18"/>
          <w:szCs w:val="18"/>
          <w:rFonts w:ascii="Times New Roman" w:hAnsi="Times New Roman"/>
        </w:rPr>
        <w:t xml:space="preserve"> </w:t>
      </w:r>
      <w:r w:rsidR="00334915" w:rsidRPr="00250374">
        <w:rPr>
          <w:i/>
          <w:sz w:val="18"/>
          <w:szCs w:val="18"/>
          <w:rFonts w:ascii="Times New Roman" w:hAnsi="Times New Roman"/>
        </w:rPr>
        <w:t xml:space="preserve">européen et du Conseil du 27 octobre 1998</w:t>
      </w:r>
      <w:r w:rsidR="00334915">
        <w:rPr>
          <w:i/>
          <w:sz w:val="18"/>
          <w:szCs w:val="18"/>
          <w:rFonts w:ascii="Times New Roman" w:hAnsi="Times New Roman"/>
        </w:rPr>
        <w:t xml:space="preserve"> ;</w:t>
      </w:r>
      <w:r w:rsidR="00334915" w:rsidRPr="00250374">
        <w:rPr>
          <w:sz w:val="18"/>
          <w:szCs w:val="18"/>
          <w:rFonts w:ascii="Times New Roman" w:hAnsi="Times New Roman"/>
        </w:rPr>
      </w:r>
    </w:p>
    <w:p w:rsidP="00250374">
      <w:pPr>
        <w:pStyle w:val="Heading6"/>
        <w:rPr>
          <w:sz w:val="18"/>
          <w:szCs w:val="18"/>
        </w:rPr>
        <w:spacing w:after="0"/>
        <w:jc w:val="both"/>
        <w:numPr>
          <w:ilvl w:val="0"/>
          <w:numId w:val="0"/>
        </w:numPr>
      </w:pPr>
      <w:r w:rsidR="00334915" w:rsidRPr="00250374">
        <w:rPr>
          <w:b/>
          <w:sz w:val="18"/>
          <w:szCs w:val="18"/>
        </w:rPr>
        <w:t xml:space="preserve">Les produits cosmétiques</w:t>
      </w:r>
      <w:r w:rsidR="00334915" w:rsidRPr="00250374">
        <w:rPr>
          <w:sz w:val="18"/>
          <w:szCs w:val="18"/>
        </w:rPr>
        <w:t xml:space="preserve"> font l’objet de la directive </w:t>
      </w:r>
      <w:r w:rsidR="00334915" w:rsidRPr="00250374">
        <w:rPr>
          <w:i/>
          <w:sz w:val="18"/>
          <w:szCs w:val="18"/>
        </w:rPr>
        <w:t xml:space="preserve">(CE) n° 76/76</w:t>
      </w:r>
      <w:r w:rsidR="00334915">
        <w:rPr>
          <w:i/>
          <w:sz w:val="18"/>
          <w:szCs w:val="18"/>
        </w:rPr>
        <w:t xml:space="preserve">8 du Conseil du 27 juillet 1976.</w:t>
      </w:r>
      <w:r w:rsidR="00334915" w:rsidRPr="00250374">
        <w:rPr>
          <w:sz w:val="18"/>
          <w:szCs w:val="18"/>
        </w:rPr>
      </w:r>
    </w:p>
    <w:p>
      <w:pPr>
        <w:pStyle w:val="FootnoteText"/>
      </w:pPr>
      <w:r w:rsidR="00334915"/>
    </w:p>
  </w:footnote>
</w:footnotes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</w:pPr>
    <w:r w:rsidR="00334915">
      <w:tab/>
      <w:tab/>
    </w:r>
  </w:p>
</w:hd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296d7080"/>
    <w:multiLevelType w:val="hybridMultilevel"/>
    <w:tmpl w:val="153875d2"/>
    <w:lvl w:ilvl="0">
      <w:start w:val="0"/>
      <w:numFmt w:val="bullet"/>
      <w:suff w:val="tab"/>
      <w:lvlText w:val="-"/>
      <w:lvlJc w:val="left"/>
      <w:pPr>
        <w:pStyle w:val="Normal"/>
        <w:tabs>
          <w:tab w:leader="none" w:pos="720" w:val="num"/>
        </w:tabs>
        <w:ind w:hanging="360" w:left="720"/>
      </w:pPr>
      <w:rPr>
        <w:b w:val="false"/>
        <w:sz w:val="22"/>
        <w:rFonts w:ascii="Times New Roman" w:eastAsia="Times New Roman" w:hAnsi="Times New Roman"/>
        <w:color w:val="00000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leader="none" w:pos="1440" w:val="num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pStyle w:val="Normal"/>
        <w:tabs>
          <w:tab w:leader="none" w:pos="2160" w:val="num"/>
        </w:tabs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pStyle w:val="Normal"/>
        <w:tabs>
          <w:tab w:leader="none" w:pos="2880" w:val="num"/>
        </w:tabs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leader="none" w:pos="3600" w:val="num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pStyle w:val="Normal"/>
        <w:tabs>
          <w:tab w:leader="none" w:pos="4320" w:val="num"/>
        </w:tabs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pStyle w:val="Normal"/>
        <w:tabs>
          <w:tab w:leader="none" w:pos="5040" w:val="num"/>
        </w:tabs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leader="none" w:pos="5760" w:val="num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pStyle w:val="Normal"/>
        <w:tabs>
          <w:tab w:leader="none" w:pos="6480" w:val="num"/>
        </w:tabs>
        <w:ind w:hanging="360" w:left="6480"/>
      </w:pPr>
      <w:rPr>
        <w:rFonts w:ascii="Wingdings" w:hAnsi="Wingdings"/>
      </w:rPr>
    </w:lvl>
  </w:abstractNum>
  <w:abstractNum w:abstractNumId="1">
    <w:nsid w:val="3ee17df6"/>
    <w:multiLevelType w:val="multilevel"/>
    <w:tmpl w:val="6aa48630"/>
    <w:lvl w:ilvl="0">
      <w:start w:val="1"/>
      <w:numFmt w:val="decimal"/>
      <w:suff w:val="tab"/>
      <w:pStyle w:val="Heading1"/>
      <w:lvlText w:val="%1."/>
      <w:lvlJc w:val="left"/>
      <w:pPr>
        <w:pStyle w:val="Normal"/>
        <w:tabs>
          <w:tab w:leader="none" w:pos="851" w:val="num"/>
        </w:tabs>
        <w:ind w:hanging="851" w:left="851"/>
      </w:pPr>
      <w:rPr>
        <w:b/>
        <w:i w:val="false"/>
        <w:u w:val="none"/>
        <w:sz w:val="24"/>
        <w:rFonts w:ascii="Times New Roman" w:hAnsi="Times New Roman"/>
        <w:color w:val="auto"/>
      </w:rPr>
    </w:lvl>
    <w:lvl w:ilvl="1">
      <w:start w:val="1"/>
      <w:numFmt w:val="decimal"/>
      <w:suff w:val="tab"/>
      <w:pStyle w:val="Heading2"/>
      <w:lvlText w:val="%1.%2"/>
      <w:lvlJc w:val="left"/>
      <w:pPr>
        <w:pStyle w:val="Normal"/>
        <w:tabs>
          <w:tab w:leader="none" w:pos="851" w:val="num"/>
        </w:tabs>
        <w:ind w:hanging="851" w:left="851"/>
      </w:pPr>
      <w:rPr>
        <w:b/>
        <w:i w:val="false"/>
        <w:u w:val="none"/>
        <w:sz w:val="24"/>
        <w:rFonts w:ascii="Times New Roman" w:hAnsi="Times New Roman"/>
        <w:color w:val="auto"/>
      </w:rPr>
    </w:lvl>
    <w:lvl w:ilvl="2">
      <w:start w:val="1"/>
      <w:numFmt w:val="decimal"/>
      <w:suff w:val="tab"/>
      <w:pStyle w:val="Heading3"/>
      <w:lvlText w:val="%1.%2.%3"/>
      <w:lvlJc w:val="left"/>
      <w:pPr>
        <w:pStyle w:val="Normal"/>
        <w:tabs>
          <w:tab w:leader="none" w:pos="851" w:val="num"/>
        </w:tabs>
        <w:ind w:hanging="851" w:left="851"/>
      </w:pPr>
      <w:rPr>
        <w:b/>
        <w:i w:val="false"/>
        <w:u w:val="none"/>
        <w:sz w:val="24"/>
        <w:rFonts w:ascii="Times New Roman" w:hAnsi="Times New Roman"/>
        <w:color w:val="auto"/>
      </w:rPr>
    </w:lvl>
    <w:lvl w:ilvl="3">
      <w:start w:val="1"/>
      <w:numFmt w:val="lowerLetter"/>
      <w:suff w:val="tab"/>
      <w:pStyle w:val="Heading4"/>
      <w:lvlText w:val="(%4)"/>
      <w:lvlJc w:val="left"/>
      <w:pPr>
        <w:pStyle w:val="Normal"/>
        <w:tabs>
          <w:tab w:leader="none" w:pos="1211" w:val="num"/>
        </w:tabs>
        <w:ind w:firstLine="284" w:left="567"/>
      </w:pPr>
      <w:rPr>
        <w:b w:val="false"/>
        <w:i w:val="false"/>
        <w:u w:val="none"/>
        <w:sz w:val="24"/>
        <w:rFonts w:ascii="Times New Roman" w:hAnsi="Times New Roman"/>
        <w:color w:val="auto"/>
      </w:rPr>
    </w:lvl>
    <w:lvl w:ilvl="4">
      <w:start w:val="1"/>
      <w:numFmt w:val="lowerRoman"/>
      <w:suff w:val="tab"/>
      <w:pStyle w:val="Heading5"/>
      <w:lvlText w:val="(%5)"/>
      <w:lvlJc w:val="left"/>
      <w:pPr>
        <w:pStyle w:val="Normal"/>
        <w:tabs>
          <w:tab w:leader="none" w:pos="2138" w:val="num"/>
        </w:tabs>
        <w:ind w:firstLine="851" w:left="567"/>
      </w:pPr>
      <w:rPr>
        <w:b w:val="false"/>
        <w:i w:val="false"/>
        <w:u w:val="none"/>
        <w:sz w:val="24"/>
        <w:rFonts w:ascii="Times New Roman" w:hAnsi="Times New Roman"/>
        <w:color w:val="auto"/>
      </w:rPr>
    </w:lvl>
    <w:lvl w:ilvl="5">
      <w:start w:val="1"/>
      <w:numFmt w:val="bullet"/>
      <w:suff w:val="tab"/>
      <w:pStyle w:val="Heading6"/>
      <w:lvlText w:val="-"/>
      <w:lvlJc w:val="left"/>
      <w:pPr>
        <w:pStyle w:val="Normal"/>
        <w:tabs>
          <w:tab w:leader="none" w:pos="2345" w:val="num"/>
        </w:tabs>
        <w:ind w:firstLine="1418" w:left="567"/>
      </w:pPr>
      <w:rPr>
        <w:rFonts w:ascii="Times New Roman" w:hAnsi="Times New Roman"/>
      </w:rPr>
    </w:lvl>
    <w:lvl w:ilvl="6">
      <w:start w:val="1"/>
      <w:numFmt w:val="bullet"/>
      <w:suff w:val="tab"/>
      <w:pStyle w:val="Heading7"/>
      <w:lvlText w:val="·"/>
      <w:lvlJc w:val="left"/>
      <w:pPr>
        <w:pStyle w:val="Normal"/>
        <w:tabs>
          <w:tab w:leader="none" w:pos="2912" w:val="num"/>
        </w:tabs>
        <w:ind w:firstLine="1985" w:left="567"/>
      </w:pPr>
      <w:rPr>
        <w:sz w:val="20"/>
        <w:rFonts w:ascii="Symbol" w:hAnsi="Symbol"/>
        <w:color w:val="auto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tabs>
          <w:tab w:leader="none" w:pos="3960" w:val="num"/>
        </w:tabs>
        <w:ind w:hanging="1224" w:left="374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tabs>
          <w:tab w:leader="none" w:pos="4680" w:val="num"/>
        </w:tabs>
        <w:ind w:hanging="1440" w:left="4320"/>
      </w:pPr>
    </w:lvl>
  </w:abstractNum>
  <w:abstractNum w:abstractNumId="2">
    <w:nsid w:val="40083856"/>
    <w:multiLevelType w:val="hybridMultilevel"/>
    <w:tmpl w:val="052cccfc"/>
    <w:lvl w:ilvl="0">
      <w:start w:val="1"/>
      <w:numFmt w:val="decimal"/>
      <w:suff w:val="tab"/>
      <w:lvlText w:val="%1."/>
      <w:lvlJc w:val="left"/>
      <w:pPr>
        <w:pStyle w:val="Normal"/>
        <w:tabs>
          <w:tab w:leader="none" w:pos="720" w:val="num"/>
        </w:tabs>
        <w:ind w:hanging="360" w:left="72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leader="none" w:pos="1440" w:val="num"/>
        </w:tabs>
        <w:ind w:hanging="360" w:left="144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leader="none" w:pos="2160" w:val="num"/>
        </w:tabs>
        <w:ind w:hanging="180" w:left="216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leader="none" w:pos="2880" w:val="num"/>
        </w:tabs>
        <w:ind w:hanging="360" w:left="288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leader="none" w:pos="3600" w:val="num"/>
        </w:tabs>
        <w:ind w:hanging="360" w:left="360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leader="none" w:pos="4320" w:val="num"/>
        </w:tabs>
        <w:ind w:hanging="180" w:left="432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leader="none" w:pos="5040" w:val="num"/>
        </w:tabs>
        <w:ind w:hanging="360" w:left="504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leader="none" w:pos="5760" w:val="num"/>
        </w:tabs>
        <w:ind w:hanging="360" w:left="57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leader="none" w:pos="6480" w:val="num"/>
        </w:tabs>
        <w:ind w:hanging="180" w:left="6480"/>
      </w:pPr>
    </w:lvl>
  </w:abstractNum>
  <w:abstractNum w:abstractNumId="3">
    <w:nsid w:val="5d513794"/>
    <w:multiLevelType w:val="hybridMultilevel"/>
    <w:tmpl w:val="38d23bc0"/>
    <w:lvl w:ilvl="0">
      <w:start w:val="1"/>
      <w:numFmt w:val="bullet"/>
      <w:suff w:val="tab"/>
      <w:lvlText w:val="-"/>
      <w:lvlJc w:val="left"/>
      <w:pPr>
        <w:pStyle w:val="Normal"/>
        <w:tabs>
          <w:tab w:leader="none" w:pos="737" w:val="num"/>
        </w:tabs>
        <w:ind w:hanging="170" w:left="737"/>
      </w:pPr>
      <w:rPr>
        <w:b w:val="false"/>
        <w:sz w:val="24"/>
        <w:rFonts w:ascii="Times New Roman" w:eastAsia="Times New Roman" w:hAnsi="Times New Roman"/>
        <w:color w:val="000000"/>
      </w:rPr>
    </w:lvl>
    <w:lvl w:ilvl="1">
      <w:start w:val="1"/>
      <w:numFmt w:val="bullet"/>
      <w:suff w:val="tab"/>
      <w:lvlText w:val="·"/>
      <w:lvlJc w:val="left"/>
      <w:pPr>
        <w:pStyle w:val="Normal"/>
        <w:tabs>
          <w:tab w:leader="none" w:pos="1420" w:val="num"/>
        </w:tabs>
        <w:ind w:hanging="340" w:left="1420"/>
      </w:pPr>
      <w:rPr>
        <w:b w:val="false"/>
        <w:sz w:val="24"/>
        <w:rFonts w:ascii="Symbol" w:hAnsi="Symbol"/>
        <w:color w:val="000000"/>
      </w:rPr>
    </w:lvl>
    <w:lvl w:ilvl="2">
      <w:start w:val="1"/>
      <w:numFmt w:val="bullet"/>
      <w:suff w:val="tab"/>
      <w:lvlText w:val="§"/>
      <w:lvlJc w:val="left"/>
      <w:pPr>
        <w:pStyle w:val="Normal"/>
        <w:tabs>
          <w:tab w:leader="none" w:pos="2160" w:val="num"/>
        </w:tabs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pStyle w:val="Normal"/>
        <w:tabs>
          <w:tab w:leader="none" w:pos="2880" w:val="num"/>
        </w:tabs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leader="none" w:pos="3600" w:val="num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pStyle w:val="Normal"/>
        <w:tabs>
          <w:tab w:leader="none" w:pos="4320" w:val="num"/>
        </w:tabs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pStyle w:val="Normal"/>
        <w:tabs>
          <w:tab w:leader="none" w:pos="5040" w:val="num"/>
        </w:tabs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leader="none" w:pos="5760" w:val="num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pStyle w:val="Normal"/>
        <w:tabs>
          <w:tab w:leader="none" w:pos="6480" w:val="num"/>
        </w:tabs>
        <w:ind w:hanging="360" w:left="6480"/>
      </w:pPr>
      <w:rPr>
        <w:rFonts w:ascii="Wingdings" w:hAnsi="Wingdings"/>
      </w:rPr>
    </w:lvl>
  </w:abstractNum>
  <w:abstractNum w:abstractNumId="4">
    <w:nsid w:val="6ccb08ea"/>
    <w:multiLevelType w:val="hybridMultilevel"/>
    <w:tmpl w:val="9d8c8740"/>
    <w:lvl w:ilvl="0">
      <w:start w:val="0"/>
      <w:numFmt w:val="bullet"/>
      <w:suff w:val="tab"/>
      <w:lvlText w:val="-"/>
      <w:lvlJc w:val="left"/>
      <w:pPr>
        <w:pStyle w:val="Normal"/>
        <w:tabs>
          <w:tab w:leader="none" w:pos="720" w:val="num"/>
        </w:tabs>
        <w:ind w:hanging="360" w:left="720"/>
      </w:pPr>
      <w:rPr>
        <w:rFonts w:ascii="Times New Roman" w:eastAsia="Times New Roman" w:hAnsi="Times New Roman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leader="none" w:pos="1440" w:val="num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pStyle w:val="Normal"/>
        <w:tabs>
          <w:tab w:leader="none" w:pos="2160" w:val="num"/>
        </w:tabs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pStyle w:val="Normal"/>
        <w:tabs>
          <w:tab w:leader="none" w:pos="2880" w:val="num"/>
        </w:tabs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leader="none" w:pos="3600" w:val="num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pStyle w:val="Normal"/>
        <w:tabs>
          <w:tab w:leader="none" w:pos="4320" w:val="num"/>
        </w:tabs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pStyle w:val="Normal"/>
        <w:tabs>
          <w:tab w:leader="none" w:pos="5040" w:val="num"/>
        </w:tabs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leader="none" w:pos="5760" w:val="num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pStyle w:val="Normal"/>
        <w:tabs>
          <w:tab w:leader="none" w:pos="6480" w:val="num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stylePaneFormatFilter w:val="3f01"/>
  <w:defaultTabStop w:val="708"/>
  <w:displayHorizontalDrawingGridEvery w:val="1"/>
  <w:displayVerticalDrawingGridEvery w:val="1"/>
  <w:footnotePr w:numRestart="2" w:numStart="1" w:pos="docEnd"/>
  <w:compat>
    <w:spaceForUL/>
  </w:compat>
  <w:rsids>
    <w:rsid w:val="00024378"/>
    <w:rsid w:val="00044193"/>
    <w:rsid w:val="001f2232"/>
    <w:rsid w:val="00250374"/>
    <w:rsid w:val="00334915"/>
    <w:rsid w:val="00347ef8"/>
    <w:rsid w:val="0041473d"/>
    <w:rsid w:val="004a7357"/>
    <w:rsid w:val="005645a3"/>
    <w:rsid w:val="00565c96"/>
    <w:rsid w:val="005e19c9"/>
    <w:rsid w:val="0063274a"/>
    <w:rsid w:val="006c5c77"/>
    <w:rsid w:val="00750c3d"/>
    <w:rsid w:val="0084117f"/>
    <w:rsid w:val="008c717b"/>
    <w:rsid w:val="00901c33"/>
    <w:rsid w:val="00991665"/>
    <w:rsid w:val="009f4e1a"/>
    <w:rsid w:val="00b202f6"/>
    <w:rsid w:val="00c54ebf"/>
    <w:rsid w:val="00d2532c"/>
    <w:rsid w:val="00e61bad"/>
    <w:rsid w:val="00e9159c"/>
    <w:rsid w:val="00f87bbf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styleId="Normal">
    <w:name w:val="Normal"/>
    <w:next w:val="Normal"/>
    <w:link w:val="Normal"/>
    <w:pPr>
      <w:overflowPunct w:val="off"/>
      <w:autoSpaceDE w:val="off"/>
      <w:autoSpaceDN w:val="off"/>
    </w:pPr>
    <w:rPr>
      <w:spacing w:val="-5"/>
      <w:lang w:bidi="ar-SA" w:eastAsia="fr-FR" w:val="fr-FR"/>
      <w:rFonts w:ascii="Arial" w:hAnsi="Arial"/>
    </w:rPr>
  </w:style>
  <w:style w:type="paragraph" w:styleId="Heading1">
    <w:name w:val="Heading1"/>
    <w:basedOn w:val="Normal"/>
    <w:next w:val="BodyText"/>
    <w:link w:val="Normal"/>
    <w:pPr>
      <w:overflowPunct/>
      <w:autoSpaceDE/>
      <w:autoSpaceDN/>
      <w:outlineLvl w:val="0"/>
      <w:spacing w:after="120"/>
      <w:numPr>
        <w:ilvl w:val="0"/>
        <w:numId w:val="3"/>
      </w:numPr>
    </w:pPr>
    <w:rPr>
      <w:b/>
      <w:caps/>
      <w:u w:val="single"/>
      <w:spacing w:val="0"/>
      <w:sz w:val="24"/>
      <w:lang w:eastAsia="en-UK"/>
      <w:rFonts w:ascii="Times New Roman" w:hAnsi="Times New Roman"/>
    </w:rPr>
  </w:style>
  <w:style w:type="paragraph" w:styleId="Heading2">
    <w:name w:val="Heading2"/>
    <w:basedOn w:val="Normal"/>
    <w:next w:val="BodyText"/>
    <w:link w:val="Normal"/>
    <w:pPr>
      <w:overflowPunct/>
      <w:autoSpaceDE/>
      <w:autoSpaceDN/>
      <w:outlineLvl w:val="1"/>
      <w:spacing w:after="120"/>
      <w:numPr>
        <w:ilvl w:val="1"/>
        <w:numId w:val="3"/>
      </w:numPr>
    </w:pPr>
    <w:rPr>
      <w:b/>
      <w:u w:val="single"/>
      <w:spacing w:val="0"/>
      <w:sz w:val="24"/>
      <w:lang w:eastAsia="en-UK"/>
      <w:rFonts w:ascii="Times New Roman" w:hAnsi="Times New Roman"/>
    </w:rPr>
  </w:style>
  <w:style w:type="paragraph" w:styleId="Heading3">
    <w:name w:val="Heading3"/>
    <w:basedOn w:val="Normal"/>
    <w:next w:val="BodyText"/>
    <w:link w:val="Normal"/>
    <w:pPr>
      <w:overflowPunct/>
      <w:autoSpaceDE/>
      <w:autoSpaceDN/>
      <w:outlineLvl w:val="2"/>
      <w:spacing w:after="120"/>
      <w:numPr>
        <w:ilvl w:val="2"/>
        <w:numId w:val="3"/>
      </w:numPr>
    </w:pPr>
    <w:rPr>
      <w:b/>
      <w:spacing w:val="0"/>
      <w:sz w:val="24"/>
      <w:lang w:eastAsia="en-UK"/>
      <w:rFonts w:ascii="Times New Roman" w:hAnsi="Times New Roman"/>
    </w:rPr>
  </w:style>
  <w:style w:type="paragraph" w:styleId="Heading4">
    <w:name w:val="Heading4"/>
    <w:basedOn w:val="Normal"/>
    <w:next w:val="Normal"/>
    <w:link w:val="Normal"/>
    <w:pPr>
      <w:tabs>
        <w:tab w:pos="1211" w:val="clear"/>
        <w:tab w:leader="none" w:pos="1418" w:val="left"/>
      </w:tabs>
      <w:overflowPunct/>
      <w:autoSpaceDE/>
      <w:autoSpaceDN/>
      <w:outlineLvl w:val="3"/>
      <w:ind w:hanging="567" w:left="1418"/>
      <w:spacing w:after="120"/>
      <w:numPr>
        <w:ilvl w:val="3"/>
        <w:numId w:val="3"/>
      </w:numPr>
    </w:pPr>
    <w:rPr>
      <w:u w:val="single"/>
      <w:spacing w:val="0"/>
      <w:sz w:val="24"/>
      <w:lang w:eastAsia="en-UK"/>
      <w:rFonts w:ascii="Times New Roman" w:hAnsi="Times New Roman"/>
    </w:rPr>
  </w:style>
  <w:style w:type="paragraph" w:styleId="Heading5">
    <w:name w:val="Heading5"/>
    <w:basedOn w:val="Normal"/>
    <w:next w:val="Normal"/>
    <w:link w:val="Normal"/>
    <w:pPr>
      <w:tabs>
        <w:tab w:pos="2138" w:val="clear"/>
        <w:tab w:leader="none" w:pos="1985" w:val="left"/>
      </w:tabs>
      <w:overflowPunct/>
      <w:autoSpaceDE/>
      <w:autoSpaceDN/>
      <w:outlineLvl w:val="4"/>
      <w:ind w:hanging="567" w:left="1985"/>
      <w:spacing w:after="120"/>
      <w:numPr>
        <w:ilvl w:val="4"/>
        <w:numId w:val="3"/>
      </w:numPr>
    </w:pPr>
    <w:rPr>
      <w:i/>
      <w:spacing w:val="0"/>
      <w:sz w:val="24"/>
      <w:lang w:eastAsia="en-UK"/>
      <w:rFonts w:ascii="Times New Roman" w:hAnsi="Times New Roman"/>
    </w:rPr>
  </w:style>
  <w:style w:type="paragraph" w:styleId="Heading6">
    <w:name w:val="Heading6"/>
    <w:basedOn w:val="Normal"/>
    <w:next w:val="StGen408"/>
    <w:link w:val="Normal"/>
    <w:pPr>
      <w:tabs>
        <w:tab w:pos="2345" w:val="clear"/>
        <w:tab w:leader="none" w:pos="2552" w:val="left"/>
      </w:tabs>
      <w:overflowPunct/>
      <w:autoSpaceDE/>
      <w:autoSpaceDN/>
      <w:outlineLvl w:val="5"/>
      <w:ind w:hanging="567" w:left="2552"/>
      <w:spacing w:after="120"/>
      <w:numPr>
        <w:ilvl w:val="5"/>
        <w:numId w:val="3"/>
      </w:numPr>
    </w:pPr>
    <w:rPr>
      <w:spacing w:val="0"/>
      <w:sz w:val="24"/>
      <w:lang w:eastAsia="en-UK"/>
      <w:rFonts w:ascii="Times New Roman" w:hAnsi="Times New Roman"/>
    </w:rPr>
  </w:style>
  <w:style w:type="paragraph" w:styleId="Heading7">
    <w:name w:val="Heading7"/>
    <w:basedOn w:val="Normal"/>
    <w:next w:val="Normal"/>
    <w:link w:val="Normal"/>
    <w:pPr>
      <w:tabs>
        <w:tab w:pos="2912" w:val="clear"/>
        <w:tab w:leader="none" w:pos="3119" w:val="left"/>
      </w:tabs>
      <w:overflowPunct/>
      <w:autoSpaceDE/>
      <w:autoSpaceDN/>
      <w:outlineLvl w:val="6"/>
      <w:ind w:hanging="567" w:left="3119"/>
      <w:spacing w:after="120"/>
      <w:numPr>
        <w:ilvl w:val="6"/>
        <w:numId w:val="3"/>
      </w:numPr>
    </w:pPr>
    <w:rPr>
      <w:spacing w:val="0"/>
      <w:sz w:val="24"/>
      <w:lang w:eastAsia="en-UK"/>
      <w:rFonts w:ascii="Times New Roman" w:hAnsi="Times New Roman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  <w:tblPr>
      <w:tblLayout w:type="fixed"/>
      <w:tblCellMar>
        <w:top w:type="dxa" w:w="0"/>
        <w:bottom w:type="dxa" w:w="0"/>
        <w:left w:type="dxa" w:w="108"/>
        <w:right w:type="dxa" w:w="108"/>
      </w:tblCellMar>
    </w:tblPr>
    <w:tblGrid/>
  </w:style>
  <w:style w:type="numbering" w:styleId="NormalList">
    <w:name w:val="NormalList"/>
    <w:next w:val="NormalList"/>
    <w:link w:val="Normal"/>
    <w:semiHidden/>
  </w:style>
  <w:style w:type="paragraph" w:styleId="Footer">
    <w:name w:val="Footer"/>
    <w:basedOn w:val="Normal"/>
    <w:next w:val="Footer"/>
    <w:link w:val="Normal"/>
    <w:pPr>
      <w:keepLines/>
      <w:tabs>
        <w:tab w:leader="none" w:pos="4320" w:val="center"/>
        <w:tab w:leader="none" w:pos="8640" w:val="right"/>
      </w:tabs>
      <w:spacing w:before="600" w:line="180" w:lineRule="atLeast"/>
      <w:jc w:val="both"/>
    </w:pPr>
    <w:rPr>
      <w:sz w:val="18"/>
    </w:rPr>
  </w:style>
  <w:style w:type="character" w:styleId="FootnoteReference">
    <w:name w:val="FootnoteReference"/>
    <w:next w:val="Normal"/>
    <w:link w:val="Normal"/>
    <w:semiHidden/>
    <w:rPr>
      <w:vertAlign w:val="superscript"/>
      <w:noProof w:val="false"/>
      <w:lang w:val="fr-FR"/>
    </w:rPr>
  </w:style>
  <w:style w:type="paragraph" w:styleId="Header">
    <w:name w:val="Header"/>
    <w:basedOn w:val="Normal"/>
    <w:next w:val="Header"/>
    <w:link w:val="Normal"/>
    <w:pPr>
      <w:keepLines/>
      <w:tabs>
        <w:tab w:leader="none" w:pos="4320" w:val="center"/>
        <w:tab w:leader="none" w:pos="8640" w:val="right"/>
      </w:tabs>
      <w:spacing w:after="600" w:line="180" w:lineRule="atLeast"/>
      <w:jc w:val="both"/>
    </w:pPr>
  </w:style>
  <w:style w:type="paragraph" w:styleId="MessageHeader">
    <w:name w:val="MessageHeader"/>
    <w:basedOn w:val="BodyText"/>
    <w:next w:val="MessageHeader"/>
    <w:link w:val="Normal"/>
    <w:pPr>
      <w:keepLines/>
      <w:tabs>
        <w:tab w:leader="8" w:pos="720" w:val="left"/>
      </w:tabs>
      <w:ind w:hanging="720" w:left="720"/>
      <w:spacing w:line="180" w:lineRule="atLeast"/>
    </w:pPr>
  </w:style>
  <w:style w:type="character" w:styleId="PageNumber">
    <w:name w:val="PageNumber"/>
    <w:next w:val="Normal"/>
    <w:link w:val="Normal"/>
    <w:rPr>
      <w:sz w:val="18"/>
      <w:noProof w:val="false"/>
      <w:lang w:val="fr-FR"/>
    </w:rPr>
  </w:style>
  <w:style w:type="paragraph" w:styleId="StGen14">
    <w:name w:val="StGen14"/>
    <w:basedOn w:val="MessageHeader"/>
    <w:next w:val="MessageHeader"/>
    <w:link w:val="Normal"/>
    <w:pPr>
      <w:spacing w:before="220"/>
    </w:pPr>
  </w:style>
  <w:style w:type="paragraph" w:styleId="StGen16">
    <w:name w:val="StGen16"/>
    <w:basedOn w:val="MessageHeader"/>
    <w:next w:val="BodyText"/>
    <w:link w:val="Normal"/>
    <w:pPr>
      <w:spacing w:after="320"/>
      <w:pBdr>
        <w:bottom w:color="000000" w:space="15" w:sz="6" w:val="single"/>
      </w:pBdr>
    </w:pPr>
  </w:style>
  <w:style w:type="character" w:styleId="StGen15">
    <w:name w:val="StGen15"/>
    <w:next w:val="StGen15"/>
    <w:link w:val="Normal"/>
    <w:rPr>
      <w:spacing w:val="-10"/>
      <w:sz w:val="18"/>
      <w:noProof w:val="false"/>
      <w:lang w:val="fr-FR"/>
      <w:rFonts w:ascii="Courier" w:hAnsi="Courier"/>
    </w:rPr>
  </w:style>
  <w:style w:type="character" w:styleId="Hyperlink">
    <w:name w:val="Hyperlink"/>
    <w:basedOn w:val="NormalCharacter"/>
    <w:next w:val="Hyperlink"/>
    <w:link w:val="Normal"/>
    <w:rPr>
      <w:u w:val="single"/>
      <w:color w:val="db331b"/>
    </w:rPr>
  </w:style>
  <w:style w:type="character" w:styleId="Strong">
    <w:name w:val="Strong"/>
    <w:basedOn w:val="NormalCharacter"/>
    <w:next w:val="Strong"/>
    <w:link w:val="Normal"/>
    <w:rPr>
      <w:b/>
      <w:bCs/>
    </w:rPr>
  </w:style>
  <w:style w:type="paragraph" w:styleId="BodyText">
    <w:name w:val="BodyText"/>
    <w:basedOn w:val="Normal"/>
    <w:next w:val="BodyText"/>
    <w:link w:val="Normal"/>
    <w:pPr>
      <w:spacing w:after="120"/>
    </w:pPr>
  </w:style>
  <w:style w:type="paragraph" w:styleId="FootnoteText">
    <w:name w:val="FootnoteText"/>
    <w:basedOn w:val="Normal"/>
    <w:next w:val="FootnoteText"/>
    <w:link w:val="Normal"/>
    <w:semiHidden/>
  </w:style>
  <w:style w:type="paragraph" w:styleId="StGen408">
    <w:name w:val="StGen408"/>
    <w:basedOn w:val="Normal"/>
    <w:next w:val="StGen408"/>
    <w:link w:val="Normal"/>
    <w:pPr>
      <w:overflowPunct/>
      <w:autoSpaceDE/>
      <w:autoSpaceDN/>
      <w:ind w:left="2552"/>
      <w:spacing w:after="120"/>
    </w:pPr>
    <w:rPr>
      <w:spacing w:val="0"/>
      <w:sz w:val="24"/>
      <w:lang w:eastAsia="en-UK"/>
      <w:rFonts w:ascii="Times New Roman" w:hAnsi="Times New Roman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image" Target="media/image1.png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footnotes" Target="footnotes.xml" /><Relationship Id="rId10" Type="http://schemas.openxmlformats.org/officeDocument/2006/relationships/settings" Target="settings.xml" /></Relationships>
</file>