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12" Type="http://schemas.openxmlformats.org/officeDocument/2006/relationships/extended-properties" Target="docProps/app.xml"/><Relationship Id="rId13"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adjustRightInd w:val="true"/>
        <w:spacing w:after="0" w:line="240"/>
        <w:rPr>
          <w:rFonts w:ascii="Times New Roman" w:eastAsia="Times New Roman" w:hAnsi="Times New Roman" w:cs="Times New Roman"/>
          <w:sz w:val="22"/>
        </w:rPr>
      </w:pPr>
      <w:r>
        <w:pict>
          <v:shape id="_x0000_s1025" type="#_x0000_t75" style="width:145pt;height:93pt;mso-position-horizontal:absolute;mso-position-horizontal-relative:char;mso-position-vertical:absolute;mso-position-vertical-relative:line;z-index:100" o:allowincell="true" filled="t" stroked="f">
            <w10:wrap type="none"/>
            <v:imagedata r:id="rId2" cropleft="0f" croptop="0f" cropright="0f" cropbottom="0f" o:title=""/>
          </v:shape>
        </w:pict>
      </w:r>
    </w:p>
    <w:p>
      <w:pPr>
        <w:jc w:val="center"/>
        <w:textAlignment w:val="auto"/>
        <w:ind w:left="0" w:right="0" w:start="0" w:end="0"/>
        <w:adjustRightInd w:val="true"/>
        <w:spacing w:after="0" w:line="240"/>
        <w:rPr>
          <w:rFonts w:ascii="Times New Roman" w:eastAsia="Times New Roman" w:hAnsi="Times New Roman" w:cs="Times New Roman"/>
          <w:sz w:val="22"/>
        </w:rPr>
      </w:pPr>
    </w:p>
    <w:p>
      <w:pPr>
        <w:jc w:val="center"/>
        <w:textAlignment w:val="auto"/>
        <w:ind w:left="0" w:right="0" w:start="0" w:end="0"/>
        <w:adjustRightInd w:val="true"/>
        <w:spacing w:after="0" w:line="240"/>
        <w:rPr>
          <w:rFonts w:ascii="Times New Roman" w:eastAsia="Times New Roman" w:hAnsi="Times New Roman" w:cs="Times New Roman"/>
          <w:sz w:val="22"/>
        </w:rPr>
      </w:pPr>
    </w:p>
    <w:tbl>
      <w:tblPr>
        <w:tblLayout w:type="fixed"/>
        <w:tblInd w:w="-70" w:type="dxa"/>
        <w:tblW w:w="9250" w:type="dxa"/>
        <w:tblCellMar>
          <w:bottom w:w="0" w:type="dxa"/>
          <w:left w:w="70" w:type="dxa"/>
          <w:right w:w="70" w:type="dxa"/>
          <w:top w:w="0" w:type="dxa"/>
        </w:tblCellMar>
        <w:tblBorders>
          <w:left w:sz="0" w:space="0" w:val="nil"/>
          <w:right w:sz="0" w:space="0" w:val="nil"/>
          <w:top w:sz="0" w:space="0" w:val="nil"/>
          <w:bottom w:sz="0" w:space="0" w:val="nil"/>
          <w:insideV w:sz="0" w:space="0" w:val="nil"/>
          <w:insideH w:sz="0" w:space="0" w:val="nil"/>
        </w:tblBorders>
      </w:tblPr>
      <w:tblGrid>
        <w:gridCol w:w="3310"/>
        <w:gridCol w:w="2700"/>
        <w:gridCol w:w="3240"/>
      </w:tblGrid>
      <w:tr>
        <w:tc>
          <w:tcPr>
            <w:tcW w:type="dxa" w:w="3310"/>
            <w:tcBorders>
              <w:left w:sz="4" w:val="single"/>
              <w:top w:sz="4" w:val="single"/>
              <w:right w:sz="4" w:val="single"/>
              <w:bottom w:sz="4" w:val="single"/>
            </w:tcBorders>
            <w:shd w:val="nil"/>
            <w:vAlign w:val="top"/>
            <w:textDirection w:val="lrTb"/>
            <w:gridSpan w:val="1"/>
          </w:tcPr>
          <w:p>
            <w:pPr>
              <w:jc w:val="left"/>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Circulaire n° 594</w:t>
            </w:r>
          </w:p>
          <w:p>
            <w:pPr>
              <w:jc w:val="left"/>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NV</w:t>
            </w:r>
          </w:p>
          <w:p>
            <w:pPr>
              <w:jc w:val="left"/>
              <w:textAlignment w:val="auto"/>
              <w:ind w:left="0" w:right="0" w:start="0" w:end="0"/>
              <w:adjustRightInd w:val="true"/>
              <w:spacing w:after="0" w:line="240"/>
              <w:rPr>
                <w:rFonts w:ascii="Times New Roman" w:eastAsia="Times New Roman" w:hAnsi="Times New Roman" w:cs="Times New Roman"/>
                <w:sz w:val="22"/>
              </w:rPr>
            </w:pPr>
          </w:p>
          <w:p>
            <w:pPr>
              <w:jc w:val="left"/>
              <w:textAlignment w:val="auto"/>
              <w:ind w:left="0" w:right="0" w:start="0" w:end="0"/>
              <w:adjustRightInd w:val="true"/>
              <w:spacing w:after="0" w:line="240"/>
              <w:rPr>
                <w:rFonts w:ascii="Times New Roman" w:eastAsia="Times New Roman" w:hAnsi="Times New Roman" w:cs="Times New Roman"/>
                <w:sz w:val="22"/>
              </w:rPr>
            </w:pPr>
          </w:p>
          <w:p>
            <w:pPr>
              <w:jc w:val="left"/>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Paris, le 1</w:t>
            </w:r>
            <w:r>
              <w:rPr>
                <w:rFonts w:ascii="Times New Roman" w:eastAsia="Times New Roman" w:hAnsi="Times New Roman" w:cs="Times New Roman"/>
                <w:sz w:val="22"/>
                <w:vertAlign w:val="superscript"/>
              </w:rPr>
              <w:t xml:space="preserve">er</w:t>
            </w:r>
            <w:r>
              <w:rPr>
                <w:rFonts w:ascii="Times New Roman" w:eastAsia="Times New Roman" w:hAnsi="Times New Roman" w:cs="Times New Roman"/>
                <w:sz w:val="22"/>
              </w:rPr>
              <w:t xml:space="preserve"> février 2005</w:t>
            </w:r>
          </w:p>
        </w:tc>
        <w:tc>
          <w:tcPr>
            <w:tcW w:type="dxa" w:w="2700"/>
            <w:tcBorders>
              <w:left w:sz="4" w:val="single"/>
              <w:top w:val="nil"/>
              <w:right w:sz="4" w:val="single"/>
              <w:bottom w:val="nil"/>
            </w:tcBorders>
            <w:shd w:val="nil"/>
            <w:vAlign w:val="top"/>
            <w:textDirection w:val="lrTb"/>
            <w:gridSpan w:val="1"/>
          </w:tcPr>
          <w:p>
            <w:pPr>
              <w:jc w:val="left"/>
              <w:textAlignment w:val="auto"/>
              <w:ind w:left="0" w:right="0" w:start="0" w:end="0"/>
              <w:adjustRightInd w:val="true"/>
              <w:spacing w:after="0" w:line="240"/>
              <w:rPr>
                <w:rFonts w:ascii="Times New Roman" w:eastAsia="Times New Roman" w:hAnsi="Times New Roman" w:cs="Times New Roman"/>
                <w:sz w:val="22"/>
              </w:rPr>
            </w:pPr>
          </w:p>
        </w:tc>
        <w:tc>
          <w:tcPr>
            <w:tcW w:type="dxa" w:w="3240"/>
            <w:tcBorders>
              <w:left w:sz="4" w:val="single"/>
              <w:top w:sz="4" w:val="single"/>
              <w:right w:sz="4" w:val="single"/>
              <w:bottom w:sz="4" w:val="single"/>
            </w:tcBorders>
            <w:shd w:val="nil"/>
            <w:vAlign w:val="top"/>
            <w:textDirection w:val="lrTb"/>
            <w:gridSpan w:val="1"/>
          </w:tcPr>
          <w:p>
            <w:pPr>
              <w:jc w:val="left"/>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Social</w:t>
            </w:r>
          </w:p>
          <w:p>
            <w:pPr>
              <w:jc w:val="left"/>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Epargne salariale</w:t>
            </w:r>
          </w:p>
          <w:p>
            <w:pPr>
              <w:jc w:val="left"/>
              <w:textAlignment w:val="auto"/>
              <w:ind w:left="0" w:right="0" w:start="0" w:end="0"/>
              <w:adjustRightInd w:val="true"/>
              <w:spacing w:after="0" w:line="240"/>
              <w:rPr>
                <w:rFonts w:ascii="Times New Roman" w:eastAsia="Times New Roman" w:hAnsi="Times New Roman" w:cs="Times New Roman"/>
                <w:sz w:val="22"/>
              </w:rPr>
            </w:pPr>
          </w:p>
        </w:tc>
      </w:tr>
    </w:tbl>
    <w:p>
      <w:pPr>
        <w:jc w:val="left"/>
        <w:textAlignment w:val="auto"/>
        <w:ind w:left="0" w:right="0" w:start="0" w:end="0"/>
        <w:adjustRightInd w:val="true"/>
        <w:spacing w:after="0" w:line="240"/>
        <w:tabs>
          <w:tab w:val="left" w:pos="4820"/>
        </w:tabs>
        <w:rPr>
          <w:rFonts w:ascii="Times New Roman" w:eastAsia="Times New Roman" w:hAnsi="Times New Roman" w:cs="Times New Roman"/>
          <w:sz w:val="22"/>
        </w:rPr>
      </w:pPr>
    </w:p>
    <w:p>
      <w:pPr>
        <w:jc w:val="left"/>
        <w:textAlignment w:val="auto"/>
        <w:ind w:left="0" w:right="0" w:start="0" w:end="0"/>
        <w:adjustRightInd w:val="true"/>
        <w:spacing w:after="0" w:line="240"/>
        <w:tabs>
          <w:tab w:val="left" w:pos="4820"/>
          <w:tab w:val="left" w:pos="5103"/>
        </w:tabs>
        <w:rPr>
          <w:b w:val="true"/>
          <w:rFonts w:ascii="Times New Roman" w:eastAsia="Times New Roman" w:hAnsi="Times New Roman" w:cs="Times New Roman"/>
          <w:sz w:val="22"/>
        </w:rPr>
      </w:pPr>
    </w:p>
    <w:p>
      <w:pPr>
        <w:jc w:val="left"/>
        <w:textAlignment w:val="auto"/>
        <w:ind w:left="0" w:right="0" w:start="0" w:end="0"/>
        <w:adjustRightInd w:val="true"/>
        <w:spacing w:after="0" w:line="240"/>
        <w:tabs>
          <w:tab w:val="left" w:pos="4820"/>
          <w:tab w:val="left" w:pos="5103"/>
        </w:tabs>
        <w:rPr>
          <w:b w:val="true"/>
          <w:rFonts w:ascii="Times New Roman" w:eastAsia="Times New Roman" w:hAnsi="Times New Roman" w:cs="Times New Roman"/>
          <w:sz w:val="22"/>
        </w:rPr>
      </w:pPr>
      <w:r>
        <w:rPr>
          <w:b w:val="true"/>
          <w:rFonts w:ascii="Times New Roman" w:eastAsia="Times New Roman" w:hAnsi="Times New Roman" w:cs="Times New Roman"/>
          <w:sz w:val="22"/>
        </w:rPr>
        <w:tab/>
      </w:r>
      <w:r>
        <w:rPr>
          <w:b w:val="true"/>
          <w:rFonts w:ascii="Times New Roman" w:eastAsia="Times New Roman" w:hAnsi="Times New Roman" w:cs="Times New Roman"/>
          <w:sz w:val="22"/>
        </w:rPr>
        <w:tab/>
      </w:r>
      <w:r>
        <w:rPr>
          <w:b w:val="true"/>
          <w:rFonts w:ascii="Times New Roman" w:eastAsia="Times New Roman" w:hAnsi="Times New Roman" w:cs="Times New Roman"/>
          <w:sz w:val="22"/>
        </w:rPr>
        <w:tab/>
      </w:r>
    </w:p>
    <w:p>
      <w:pPr>
        <w:jc w:val="center"/>
        <w:textAlignment w:val="auto"/>
        <w:ind w:left="0" w:right="0" w:start="0" w:end="0"/>
        <w:adjustRightInd w:val="true"/>
        <w:spacing w:after="0" w:line="240"/>
        <w:pBdr>
          <w:top w:sz="4" w:space="1" w:val="single"/>
          <w:left w:sz="4" w:space="4" w:val="single"/>
          <w:bottom w:sz="4" w:space="1" w:val="single"/>
          <w:right w:sz="4" w:space="4" w:val="single"/>
        </w:pBdr>
        <w:tabs>
          <w:tab w:val="left" w:pos="4820"/>
        </w:tabs>
        <w:rPr>
          <w:b w:val="true"/>
          <w:rFonts w:ascii="Times New Roman" w:eastAsia="Times New Roman" w:hAnsi="Times New Roman" w:cs="Times New Roman"/>
          <w:sz w:val="22"/>
        </w:rPr>
      </w:pPr>
    </w:p>
    <w:p>
      <w:pPr>
        <w:jc w:val="center"/>
        <w:textAlignment w:val="auto"/>
        <w:ind w:left="0" w:right="0" w:start="0" w:end="0"/>
        <w:adjustRightInd w:val="true"/>
        <w:spacing w:after="0" w:line="240"/>
        <w:pBdr>
          <w:top w:sz="4" w:space="1" w:val="single"/>
          <w:left w:sz="4" w:space="4" w:val="single"/>
          <w:bottom w:sz="4" w:space="1" w:val="single"/>
          <w:right w:sz="4" w:space="4" w:val="single"/>
        </w:pBdr>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Avenant n° 10 du 10 novembre 2004 relatif à l'épargne salariale</w:t>
      </w:r>
    </w:p>
    <w:p>
      <w:pPr>
        <w:jc w:val="center"/>
        <w:textAlignment w:val="auto"/>
        <w:ind w:left="0" w:right="0" w:start="0" w:end="0"/>
        <w:adjustRightInd w:val="true"/>
        <w:spacing w:after="0" w:line="240"/>
        <w:pBdr>
          <w:top w:sz="4" w:space="1" w:val="single"/>
          <w:left w:sz="4" w:space="4" w:val="single"/>
          <w:bottom w:sz="4" w:space="1" w:val="single"/>
          <w:right w:sz="4" w:space="4" w:val="single"/>
        </w:pBdr>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et créant le Plan d'Epargne pour la Retraite Collectif Interentreprises dans les</w:t>
      </w:r>
    </w:p>
    <w:p>
      <w:pPr>
        <w:jc w:val="center"/>
        <w:textAlignment w:val="auto"/>
        <w:ind w:left="0" w:right="0" w:start="0" w:end="0"/>
        <w:adjustRightInd w:val="true"/>
        <w:spacing w:after="0" w:line="240"/>
        <w:pBdr>
          <w:top w:sz="4" w:space="1" w:val="single"/>
          <w:left w:sz="4" w:space="4" w:val="single"/>
          <w:bottom w:sz="4" w:space="1" w:val="single"/>
          <w:right w:sz="4" w:space="4" w:val="single"/>
        </w:pBdr>
        <w:rPr>
          <w:rFonts w:ascii="Times New Roman" w:eastAsia="Times New Roman" w:hAnsi="Times New Roman" w:cs="Times New Roman"/>
          <w:sz w:val="22"/>
        </w:rPr>
      </w:pPr>
      <w:r>
        <w:rPr>
          <w:b w:val="true"/>
          <w:rFonts w:ascii="Times New Roman" w:eastAsia="Times New Roman" w:hAnsi="Times New Roman" w:cs="Times New Roman"/>
          <w:sz w:val="22"/>
        </w:rPr>
        <w:t xml:space="preserve">entreprises du commerce de détail et de gros à prédominance alimentaire</w:t>
      </w:r>
    </w:p>
    <w:p>
      <w:pPr>
        <w:jc w:val="center"/>
        <w:textAlignment w:val="auto"/>
        <w:ind w:left="0" w:right="0" w:start="0" w:end="0"/>
        <w:adjustRightInd w:val="true"/>
        <w:spacing w:after="0" w:line="240"/>
        <w:pBdr>
          <w:top w:sz="4" w:space="1" w:val="single"/>
          <w:left w:sz="4" w:space="4" w:val="single"/>
          <w:bottom w:sz="4" w:space="1" w:val="single"/>
          <w:right w:sz="4" w:space="4" w:val="single"/>
        </w:pBdr>
        <w:tabs>
          <w:tab w:val="left" w:pos="482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(PERCO-I)</w:t>
      </w:r>
    </w:p>
    <w:p>
      <w:pPr>
        <w:jc w:val="center"/>
        <w:textAlignment w:val="auto"/>
        <w:ind w:left="0" w:right="0" w:start="0" w:end="0"/>
        <w:adjustRightInd w:val="true"/>
        <w:spacing w:after="0" w:line="240"/>
        <w:pBdr>
          <w:top w:sz="4" w:space="1" w:val="single"/>
          <w:left w:sz="4" w:space="4" w:val="single"/>
          <w:bottom w:sz="4" w:space="1" w:val="single"/>
          <w:right w:sz="4" w:space="4" w:val="single"/>
        </w:pBdr>
        <w:tabs>
          <w:tab w:val="left" w:pos="4820"/>
        </w:tabs>
        <w:rPr>
          <w:b w:val="true"/>
          <w:rFonts w:ascii="Times New Roman" w:eastAsia="Times New Roman" w:hAnsi="Times New Roman" w:cs="Times New Roman"/>
          <w:sz w:val="22"/>
        </w:rPr>
      </w:pPr>
    </w:p>
    <w:p>
      <w:pPr>
        <w:jc w:val="center"/>
        <w:textAlignment w:val="auto"/>
        <w:ind w:left="0" w:right="0" w:start="0" w:end="0"/>
        <w:adjustRightInd w:val="true"/>
        <w:spacing w:after="0" w:line="240"/>
        <w:pBdr>
          <w:top w:sz="4" w:space="1" w:val="single"/>
          <w:left w:sz="4" w:space="4" w:val="single"/>
          <w:bottom w:sz="4" w:space="1" w:val="single"/>
          <w:right w:sz="4" w:space="4" w:val="single"/>
        </w:pBdr>
        <w:tabs>
          <w:tab w:val="left" w:pos="482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Suite de la circulaire n° </w:t>
      </w:r>
      <w:hyperlink r:id="rId3">
        <w:r>
          <w:rPr>
            <w:b w:val="true"/>
            <w:rFonts w:ascii="Times New Roman" w:eastAsia="Times New Roman" w:hAnsi="Times New Roman" w:cs="Times New Roman"/>
            <w:sz w:val="22"/>
            <w:color w:val="0000ff"/>
            <w:u w:val="single"/>
          </w:rPr>
          <w:t xml:space="preserve">524</w:t>
        </w:r>
      </w:hyperlink>
    </w:p>
    <w:p>
      <w:pPr>
        <w:jc w:val="center"/>
        <w:textAlignment w:val="auto"/>
        <w:ind w:left="0" w:right="0" w:start="0" w:end="0"/>
        <w:adjustRightInd w:val="true"/>
        <w:spacing w:after="0" w:line="240"/>
        <w:pBdr>
          <w:top w:sz="4" w:space="1" w:val="single"/>
          <w:left w:sz="4" w:space="4" w:val="single"/>
          <w:bottom w:sz="4" w:space="1" w:val="single"/>
          <w:right w:sz="4" w:space="4" w:val="single"/>
        </w:pBdr>
        <w:tabs>
          <w:tab w:val="left" w:pos="4820"/>
        </w:tabs>
        <w:rPr>
          <w:b w:val="true"/>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Nous vous prions de bien vouloir trouver ci-joint l’avenant n° 10 du 10 novembre 2004 relatif à l'épargne salariale et créant le Plan d'Epargne pour la Retraite Collectif Interentreprises (PERCO-I) dans les entreprises du commerce de détail et de gros à prédominance alimentaire.</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Il modifie les dispositions de l'article 3-9 et de l'annexe VI de la CCN relatif à l’épargne salariale et créant le Plan d’épargne salariale dans les entreprises du commerce de détail et de gros à prédominance alimentaire.</w:t>
      </w:r>
    </w:p>
    <w:p>
      <w:pPr>
        <w:jc w:val="left"/>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2"/>
        </w:rPr>
      </w:pPr>
      <w:r>
        <w:rPr>
          <w:rFonts w:ascii="Times New Roman" w:eastAsia="Times New Roman" w:hAnsi="Times New Roman" w:cs="Times New Roman"/>
          <w:sz w:val="22"/>
        </w:rPr>
        <w:t xml:space="preserve">Il a été signé par les organisations syndicales suivantes:</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2"/>
          <w:color w:val="000080"/>
        </w:rPr>
      </w:pPr>
    </w:p>
    <w:p>
      <w:pPr>
        <w:jc w:val="center"/>
        <w:textAlignment w:val="auto"/>
        <w:ind w:left="284" w:right="0" w:start="284"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FGTA-FO, CFTC, CFDT, CFE-CGC</w:t>
      </w:r>
    </w:p>
    <w:p>
      <w:pPr>
        <w:jc w:val="left"/>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Conformément  au nouvel article L. 132-2.2 du Code du travail, l’avenant ayant été signé par la majorité des syndicats, il n’y a pas d’opposition majoritaire possible.</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De ce fait, l’avenant est déposé à la DRTEFP et son extension vient d’être demandée au Ministère du Travail, au nom des organisations signataires.</w:t>
      </w:r>
    </w:p>
    <w:p>
      <w:pPr>
        <w:jc w:val="left"/>
        <w:textAlignment w:val="auto"/>
        <w:ind w:left="0" w:right="0" w:start="0" w:end="0"/>
        <w:adjustRightInd w:val="true"/>
        <w:spacing w:after="0" w:line="240"/>
        <w:rPr>
          <w:rFonts w:ascii="Times New Roman" w:eastAsia="Times New Roman" w:hAnsi="Times New Roman" w:cs="Times New Roman"/>
          <w:sz w:val="22"/>
        </w:rPr>
      </w:pPr>
    </w:p>
    <w:p>
      <w:pPr>
        <w:jc w:val="left"/>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Cet avenant a pour objectif de faciliter l'accès des salariés et dirigeants des petites entreprises - ne disposant pas déjà d’un tel dispositif </w:t>
      </w:r>
      <w:r>
        <w:rPr>
          <w:b w:val="true"/>
          <w:rFonts w:ascii="Times New Roman" w:eastAsia="Times New Roman" w:hAnsi="Times New Roman" w:cs="Times New Roman"/>
          <w:sz w:val="22"/>
        </w:rPr>
        <w:t xml:space="preserve">- à l'épargne salariale en vue de leur retraite</w:t>
      </w:r>
      <w:r>
        <w:rPr>
          <w:rFonts w:ascii="Times New Roman" w:eastAsia="Times New Roman" w:hAnsi="Times New Roman" w:cs="Times New Roman"/>
          <w:sz w:val="22"/>
        </w:rPr>
        <w:t xml:space="preserve">, dans les conditions fixées par la loi du 19 février 2001, modifiée par celle du 21 août 2003 réformant les retraites. </w:t>
      </w:r>
    </w:p>
    <w:p>
      <w:pPr>
        <w:jc w:val="left"/>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La promulgation de la loi n° 2003-775 du 21 août 2003 portant réforme des retraites ayant rendu caduc l’ensemble des dispositions ayant trait au PPESVI figurant dans l’avenant n° 4 du 7 juillet 2003 (dispositions d’ailleurs exclues de l’extension), l’avenant n° 10 du 10 novembre 2004 a donc pour objet d’instaurer les modalités de mise en place du PERCO-I se substituant au PPESVI au 1</w:t>
      </w:r>
      <w:r>
        <w:rPr>
          <w:rFonts w:ascii="Times New Roman" w:eastAsia="Times New Roman" w:hAnsi="Times New Roman" w:cs="Times New Roman"/>
          <w:sz w:val="22"/>
          <w:vertAlign w:val="superscript"/>
        </w:rPr>
        <w:t xml:space="preserve">er</w:t>
      </w:r>
      <w:r>
        <w:rPr>
          <w:rFonts w:ascii="Times New Roman" w:eastAsia="Times New Roman" w:hAnsi="Times New Roman" w:cs="Times New Roman"/>
          <w:sz w:val="22"/>
        </w:rPr>
        <w:t xml:space="preserve"> janvier 2005 (date d’entrée en vigueur pour les entreprises adhérentes. Pour les autres entreprises, l’avenant entrera en vigueur le lendemain de la publication de son arrêté d’extension au JO).</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Il est rappelé que le PERCO-I est réservé aux entreprises de la branche disposant déjà d’un plan d’épargne (PEI)  à 5 ans.</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 dispositif est ouvert à tous les salariés de la branche, ayant au moins 3 ans d’ancienneté, ainsi que, dans les entreprises de 1 à 100 salariés, aux chefs d’entreprise, président, directeurs généraux ou membres du directoire.</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Comme pour le PEI, l’abondement de l’entreprise est facultatif. Si le chef d’entreprise opte pour l’abondement (il en choisit alors librement la formule), cette aide financière ne pourra excéder le triple des sommes versées, plafonné à 4600 € par épargnant et par an dans le PERCO-I et 2300 € dans le PEI. Ces plafonds sont cumulables, soit 6900 € par épargnant et par an.</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avoirs investis dans le PERCO-I sont en principe bloqués jusqu’à la retraite. Les épargnants ont alors le choix entre une sortie de capital et une sortie de rente.</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Une sortie anticipée de l’épargne sous forme de capital est toutefois possible dans 5 cas de déblocage anticipé</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auto"/>
        <w:ind w:hanging="360" w:left="720" w:right="0" w:start="720" w:end="0"/>
        <w:adjustRightInd w:val="true"/>
        <w:spacing w:after="0" w:line="240"/>
        <w:numPr>
          <w:ilvl w:val="0"/>
          <w:numId w:val="3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Affectation des sommes épargnées à l'acquisition ou à la remise en état de la résidence principale endommagée à la suite d'une catastrophe naturelle reconnue par arrêté ministériel.</w:t>
      </w:r>
    </w:p>
    <w:p>
      <w:pPr>
        <w:jc w:val="both"/>
        <w:textAlignment w:val="auto"/>
        <w:ind w:hanging="360" w:left="720" w:right="0" w:start="720" w:end="0"/>
        <w:adjustRightInd w:val="true"/>
        <w:spacing w:after="0" w:line="240"/>
        <w:numPr>
          <w:ilvl w:val="0"/>
          <w:numId w:val="31"/>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expiration des droits à l’assurance chômage</w:t>
      </w:r>
    </w:p>
    <w:p>
      <w:pPr>
        <w:jc w:val="both"/>
        <w:textAlignment w:val="auto"/>
        <w:ind w:hanging="360" w:left="720" w:right="0" w:start="720" w:end="0"/>
        <w:adjustRightInd w:val="true"/>
        <w:spacing w:after="0" w:line="240"/>
        <w:numPr>
          <w:ilvl w:val="0"/>
          <w:numId w:val="31"/>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surendettement de l’épargnant</w:t>
      </w:r>
    </w:p>
    <w:p>
      <w:pPr>
        <w:jc w:val="both"/>
        <w:textAlignment w:val="auto"/>
        <w:ind w:hanging="360" w:left="720" w:right="0" w:start="720" w:end="0"/>
        <w:adjustRightInd w:val="true"/>
        <w:spacing w:after="0" w:line="240"/>
        <w:numPr>
          <w:ilvl w:val="0"/>
          <w:numId w:val="31"/>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invalidité de l’épargnant, de ses enfants, de son conjoint ou du pacsé</w:t>
      </w:r>
    </w:p>
    <w:p>
      <w:pPr>
        <w:jc w:val="both"/>
        <w:textAlignment w:val="auto"/>
        <w:ind w:hanging="360" w:left="720" w:right="0" w:start="720" w:end="0"/>
        <w:adjustRightInd w:val="true"/>
        <w:spacing w:after="0" w:line="240"/>
        <w:numPr>
          <w:ilvl w:val="0"/>
          <w:numId w:val="31"/>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décès de l’épargnant, de son conjoint ou du pacsé.</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2"/>
        </w:rPr>
      </w:pPr>
      <w:r>
        <w:rPr>
          <w:rFonts w:ascii="Times New Roman" w:eastAsia="Times New Roman" w:hAnsi="Times New Roman" w:cs="Times New Roman"/>
          <w:sz w:val="22"/>
        </w:rPr>
        <w:t xml:space="preserve">Toutefois, il est prévu que tout autre cas de déblocage institué ultérieurement par voie légale ou réglementaire s’appliquera automatiquement.</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 Crédit Agricole Asset Management</w:t>
      </w:r>
      <w:r>
        <w:rPr>
          <w:rFonts w:ascii="Times New Roman" w:eastAsia="Times New Roman" w:hAnsi="Times New Roman" w:cs="Times New Roman"/>
          <w:sz w:val="22"/>
          <w:vertAlign w:val="superscript"/>
        </w:rPr>
        <w:footnoteReference w:id="2"/>
      </w:r>
      <w:r>
        <w:rPr>
          <w:rFonts w:ascii="Times New Roman" w:eastAsia="Times New Roman" w:hAnsi="Times New Roman" w:cs="Times New Roman"/>
          <w:sz w:val="22"/>
        </w:rPr>
        <w:t xml:space="preserve"> a par ailleurs mis à jour la </w:t>
      </w:r>
      <w:hyperlink r:id="rId4">
        <w:r>
          <w:rPr>
            <w:rFonts w:ascii="Times New Roman" w:eastAsia="Times New Roman" w:hAnsi="Times New Roman" w:cs="Times New Roman"/>
            <w:sz w:val="22"/>
            <w:color w:val="0000ff"/>
            <w:u w:val="single"/>
          </w:rPr>
          <w:t xml:space="preserve">plaquette explicative du PEI et du PERCO-I.</w:t>
        </w:r>
      </w:hyperlink>
      <w:r>
        <w:rPr>
          <w:rFonts w:ascii="Times New Roman" w:eastAsia="Times New Roman" w:hAnsi="Times New Roman" w:cs="Times New Roman"/>
          <w:sz w:val="22"/>
        </w:rPr>
        <w:t xml:space="preserve"> Celle-ci peut être téléchargée sur notre site internet. La présentation des dispositifs devrait également être prochainement mise à jour et disponible dans les meilleurs délais sur notre site.</w:t>
      </w:r>
    </w:p>
    <w:p>
      <w:pPr>
        <w:jc w:val="both"/>
        <w:textAlignment w:val="auto"/>
        <w:ind w:left="0" w:right="0" w:start="0" w:end="0"/>
        <w:adjustRightInd w:val="true"/>
        <w:spacing w:after="0" w:line="240"/>
        <w:rPr>
          <w:rFonts w:ascii="Times New Roman" w:eastAsia="Times New Roman" w:hAnsi="Times New Roman" w:cs="Times New Roman"/>
          <w:sz w:val="22"/>
        </w:rPr>
      </w:pPr>
    </w:p>
    <w:p>
      <w:pPr>
        <w:jc w:val="both"/>
        <w:textAlignment w:val="auto"/>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Les entreprises intéressées par le PEI et le PERCO-I et n'y ayant pas encore souscrit, peuvent directement contacter </w:t>
      </w:r>
      <w:r>
        <w:rPr>
          <w:rFonts w:ascii="Times New Roman" w:eastAsia="Times New Roman" w:hAnsi="Times New Roman" w:cs="Times New Roman"/>
          <w:sz w:val="22"/>
          <w:color w:val="000000"/>
        </w:rPr>
        <w:t xml:space="preserve">Marie-Lorraine Rouy (01 43 23 93 78) et Laura de Pelleport (01 43 23 93 46),</w:t>
      </w:r>
      <w:r>
        <w:rPr>
          <w:rFonts w:ascii="Times New Roman" w:eastAsia="Times New Roman" w:hAnsi="Times New Roman" w:cs="Times New Roman"/>
          <w:sz w:val="22"/>
        </w:rPr>
        <w:t xml:space="preserve">du CAAM., qui pourront répondre à leurs premières questions et les mettre en rapport avec un commercial en vue de la signature d’un contrat.</w:t>
      </w: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 xml:space="preserve"> </w:t>
      </w:r>
    </w:p>
    <w:p>
      <w:pPr>
        <w:jc w:val="both"/>
        <w:textAlignment w:val="auto"/>
        <w:ind w:left="0" w:right="0" w:start="0" w:end="0"/>
        <w:adjustRightInd w:val="true"/>
        <w:spacing w:after="0" w:line="240"/>
        <w:rPr>
          <w:rFonts w:ascii="Times New Roman" w:eastAsia="Times New Roman" w:hAnsi="Times New Roman" w:cs="Times New Roman"/>
          <w:sz w:val="22"/>
          <w:u w:val="single"/>
        </w:rPr>
      </w:pPr>
      <w:r>
        <w:rPr>
          <w:rFonts w:ascii="Times New Roman" w:eastAsia="Times New Roman" w:hAnsi="Times New Roman" w:cs="Times New Roman"/>
          <w:sz w:val="22"/>
        </w:rPr>
        <w:t xml:space="preserve">Pour les entreprises ayant déjà souscrit au produit, une ligne dédiée à Alim'Epargne a été mise en place au sein du CAAM. (également destinée à informer les salariés)</w:t>
      </w:r>
    </w:p>
    <w:p>
      <w:pPr>
        <w:jc w:val="center"/>
        <w:textAlignment w:val="auto"/>
        <w:ind w:left="0" w:right="0" w:start="0" w:end="0"/>
        <w:adjustRightInd w:val="true"/>
        <w:spacing w:after="0" w:line="240"/>
        <w:rPr>
          <w:b w:val="true"/>
          <w:rFonts w:ascii="Times New Roman" w:eastAsia="Times New Roman" w:hAnsi="Times New Roman" w:cs="Times New Roman"/>
          <w:sz w:val="22"/>
        </w:rPr>
      </w:pPr>
      <w:r>
        <w:rPr>
          <w:b w:val="true"/>
          <w:rFonts w:ascii="Wingdings 3" w:eastAsia="Wingdings 3" w:hAnsi="Wingdings 3" w:cs="Wingdings 3"/>
          <w:sz w:val="22"/>
          <w:u w:val="single"/>
        </w:rPr>
        <w:t xml:space="preserve"></w:t>
      </w:r>
      <w:r>
        <w:rPr>
          <w:b w:val="true"/>
          <w:rFonts w:ascii="Times New Roman" w:eastAsia="Times New Roman" w:hAnsi="Times New Roman" w:cs="Times New Roman"/>
          <w:sz w:val="22"/>
          <w:u w:val="single"/>
        </w:rPr>
        <w:t xml:space="preserve"> 0 892 10 65 10.</w:t>
      </w: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p>
    <w:p>
      <w:pPr>
        <w:jc w:val="center"/>
        <w:textAlignment w:val="auto"/>
        <w:ind w:left="0" w:right="0" w:start="0" w:end="0"/>
        <w:adjustRightInd w:val="true"/>
        <w:spacing w:after="0" w:line="240"/>
        <w:tabs>
          <w:tab w:val="left" w:pos="851"/>
          <w:tab w:val="center" w:pos="4536"/>
          <w:tab w:val="right" w:pos="9072"/>
        </w:tabs>
        <w:rPr>
          <w:b w:val="true"/>
          <w:rFonts w:ascii="Times New Roman" w:eastAsia="Times New Roman" w:hAnsi="Times New Roman" w:cs="Times New Roman"/>
          <w:sz w:val="22"/>
        </w:rPr>
      </w:pPr>
    </w:p>
    <w:p>
      <w:pPr>
        <w:jc w:val="left"/>
        <w:textAlignment w:val="auto"/>
        <w:ind w:left="0" w:right="0" w:start="0" w:end="0"/>
        <w:adjustRightInd w:val="true"/>
        <w:spacing w:after="0" w:line="240"/>
        <w:tabs>
          <w:tab w:val="left" w:pos="851"/>
          <w:tab w:val="center" w:pos="4536"/>
          <w:tab w:val="right" w:pos="9072"/>
        </w:tabs>
        <w:rPr>
          <w:b w:val="true"/>
          <w:rFonts w:ascii="Times New Roman" w:eastAsia="Times New Roman" w:hAnsi="Times New Roman" w:cs="Times New Roman"/>
          <w:sz w:val="24"/>
        </w:rPr>
      </w:pPr>
    </w:p>
    <w:p>
      <w:pPr>
        <w:jc w:val="center"/>
        <w:textAlignment w:val="auto"/>
        <w:ind w:left="0" w:right="0" w:start="0" w:end="0"/>
        <w:adjustRightInd w:val="true"/>
        <w:spacing w:after="0" w:line="240"/>
        <w:tabs>
          <w:tab w:val="left" w:pos="851"/>
          <w:tab w:val="center" w:pos="4536"/>
          <w:tab w:val="right" w:pos="9072"/>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CONVENTION COLLECTIVE NATIONALE</w:t>
      </w:r>
    </w:p>
    <w:p>
      <w:pPr>
        <w:jc w:val="center"/>
        <w:textAlignment w:val="auto"/>
        <w:ind w:left="0" w:right="0" w:start="0" w:end="0"/>
        <w:adjustRightInd w:val="true"/>
        <w:spacing w:after="0" w:line="240"/>
        <w:tabs>
          <w:tab w:val="left" w:pos="851"/>
          <w:tab w:val="center" w:pos="4536"/>
          <w:tab w:val="right" w:pos="9072"/>
        </w:tabs>
        <w:rPr>
          <w:b w:val="true"/>
          <w:rFonts w:ascii="Times New Roman" w:eastAsia="Times New Roman" w:hAnsi="Times New Roman" w:cs="Times New Roman"/>
          <w:sz w:val="24"/>
        </w:rPr>
      </w:pPr>
    </w:p>
    <w:p>
      <w:pPr>
        <w:jc w:val="center"/>
        <w:textAlignment w:val="auto"/>
        <w:ind w:left="0" w:right="0" w:start="0" w:end="0"/>
        <w:adjustRightInd w:val="true"/>
        <w:spacing w:after="0" w:line="240"/>
        <w:tabs>
          <w:tab w:val="left" w:pos="851"/>
          <w:tab w:val="center" w:pos="4536"/>
          <w:tab w:val="right" w:pos="9072"/>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DU COMMERCE DE DÉTAIL ET DE GROS À PRÉDOMINANCE ALIMENTAIRE</w:t>
      </w:r>
    </w:p>
    <w:p>
      <w:pPr>
        <w:jc w:val="both"/>
        <w:textAlignment w:val="auto"/>
        <w:ind w:left="0" w:right="0" w:start="0" w:end="0"/>
        <w:adjustRightInd w:val="true"/>
        <w:spacing w:after="0" w:line="240"/>
        <w:rPr>
          <w:rFonts w:ascii="Times New Roman" w:eastAsia="Times New Roman" w:hAnsi="Times New Roman" w:cs="Times New Roman"/>
          <w:sz w:val="20"/>
        </w:rPr>
      </w:pPr>
    </w:p>
    <w:p>
      <w:pPr>
        <w:jc w:val="both"/>
        <w:textAlignment w:val="auto"/>
        <w:ind w:left="0" w:right="0" w:start="0" w:end="0"/>
        <w:adjustRightInd w:val="true"/>
        <w:spacing w:after="0" w:line="240"/>
        <w:rPr>
          <w:rFonts w:ascii="Times New Roman" w:eastAsia="Times New Roman" w:hAnsi="Times New Roman" w:cs="Times New Roman"/>
          <w:sz w:val="20"/>
        </w:rPr>
      </w:pPr>
    </w:p>
    <w:p>
      <w:pPr>
        <w:jc w:val="center"/>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Avenant n° 10 du 10 novembre 2004 relatif à l'épargne salariale</w:t>
      </w:r>
    </w:p>
    <w:p>
      <w:pPr>
        <w:jc w:val="center"/>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et créant le Plan d'Epargne pour la Retraite Collectif Interentreprises dans les</w:t>
      </w:r>
    </w:p>
    <w:p>
      <w:pPr>
        <w:jc w:val="center"/>
        <w:textAlignment w:val="auto"/>
        <w:ind w:left="0" w:right="0" w:start="0" w:end="0"/>
        <w:adjustRightInd w:val="true"/>
        <w:spacing w:after="0" w:line="240"/>
        <w:rPr>
          <w:rFonts w:ascii="Times New Roman" w:eastAsia="Times New Roman" w:hAnsi="Times New Roman" w:cs="Times New Roman"/>
          <w:sz w:val="24"/>
        </w:rPr>
      </w:pPr>
      <w:r>
        <w:rPr>
          <w:b w:val="true"/>
          <w:rFonts w:ascii="Times New Roman" w:eastAsia="Times New Roman" w:hAnsi="Times New Roman" w:cs="Times New Roman"/>
          <w:sz w:val="24"/>
        </w:rPr>
        <w:t xml:space="preserve">entreprises du commerce de détail et de gros à prédominance alimentaire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3"/>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1 - OBJET DE L'AVENANT</w:t>
      </w:r>
    </w:p>
    <w:p>
      <w:pPr>
        <w:jc w:val="left"/>
        <w:textAlignment w:val="auto"/>
        <w:ind w:left="0" w:right="0" w:start="0" w:end="0"/>
        <w:adjustRightInd w:val="true"/>
        <w:spacing w:after="0" w:line="240"/>
        <w:rPr>
          <w:rFonts w:ascii="Times New Roman" w:eastAsia="Times New Roman" w:hAnsi="Times New Roman" w:cs="Times New Roman"/>
          <w:sz w:val="23"/>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 promulgation de la loi n° 2003-775 du 21 août 2003 portant réforme des retraites a rendu caduc l’ensemble des dispositions ayant trait au PPESVI.</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présent avenant instaure les modalités de mise en place du PERCO-I se substituant au PPESVI au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janvier 2005.</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Par ailleurs, la société de gestion CREDIT LYONNAIS ASSET MANAGEMENT a été absorbée 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juillet 2004 par une nouvelle société de gestion CREDIT AGRICOLE ASSET MANAGEMENT (CAAM). Par application des dispositions du Code de commerce, la nouvelle entité (CAAM) est subrogée de plein droit dans tous les droits et obligations, contrats, conventions et autres engagements pris par CREDIT LYONNAIS ASSET MANAGEMENT. </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Au vu de ces éléments, le présent avenant a pour objet de modifier les dispositions de l'article 3-9 et de l'annexe VI de la Convention collective nationale relatifs à l’épargne salariale et créant le Plan d’épargne salariale dans les entreprises du commerce de détail et de gros à prédominance alimentaire.</w:t>
      </w:r>
    </w:p>
    <w:p>
      <w:pPr>
        <w:keepNext w:val="true"/>
        <w:outlineLvl w:val="1"/>
        <w:jc w:val="left"/>
        <w:textAlignment w:val="auto"/>
        <w:ind w:left="0" w:right="0" w:start="0" w:end="0"/>
        <w:adjustRightInd w:val="true"/>
        <w:spacing w:after="0" w:line="240"/>
        <w:rPr>
          <w:b w:val="false"/>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both"/>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2 - L'ARTICLE 3-9 - EPARGNE SALARIALE EST MODIFIE AINSI QU'IL SUIT :</w:t>
      </w: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Préambule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i w:val="true"/>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du Préambule prend la rédaction suivante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"En mettant en place un dispositif d’épargne salariale de branche, les parties signataires entendent souligner l’intérêt qui s’attache à la création d’un Plan d’Epargne Interentreprises (PEI) associé à un Plan d’Epargne pour la Retraite Collectif Interentreprises (PERCO-I), en vue de faciliter l’accès des salariés des petites entreprises et de leurs dirigeants à l’épargne salariale et à l’épargne retraite dans les conditions fixées par la loi n° 2001-152 du 19 février 2001 et la loi n° 2003-775 du 21 août 2003 et les textes réglementaires pris pour leur application".</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3-9.1 - Champ d’application - adhésions</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est modifié comme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ou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respectivement remplacés par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ou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dernier paragraphe de l’article 3-9.1 est supprimé.</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3-9.2 - Règlement et gestion du Plan d’Epargne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premier paragraphe, le terme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firstLine="348" w:left="360" w:right="0" w:start="36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le terme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le nom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Crédit Lyonnais Asset Management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Crédit Agricole Asset Management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et le terme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par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center"/>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smallCaps w:val="true"/>
        </w:rPr>
        <w:t xml:space="preserve">MODIFICATIONS APPORTEES A L'ANNEXE VI</w:t>
      </w:r>
    </w:p>
    <w:p>
      <w:pPr>
        <w:jc w:val="center"/>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smallCaps w:val="true"/>
        </w:rPr>
        <w:t xml:space="preserve">EPARGNE SALARIALE</w:t>
      </w:r>
    </w:p>
    <w:p>
      <w:pPr>
        <w:jc w:val="center"/>
        <w:textAlignment w:val="auto"/>
        <w:ind w:left="0" w:right="0" w:start="0" w:end="0"/>
        <w:adjustRightInd w:val="true"/>
        <w:spacing w:after="0" w:line="240"/>
        <w:rPr>
          <w:b w:val="true"/>
          <w:rFonts w:ascii="Times New Roman" w:eastAsia="Times New Roman" w:hAnsi="Times New Roman" w:cs="Times New Roman"/>
          <w:sz w:val="24"/>
          <w:smallCaps w:val="true"/>
        </w:rPr>
      </w:pPr>
    </w:p>
    <w:p>
      <w:pPr>
        <w:jc w:val="center"/>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smallCaps w:val="true"/>
        </w:rPr>
        <w:t xml:space="preserve">SECTION I</w:t>
      </w:r>
    </w:p>
    <w:p>
      <w:pPr>
        <w:jc w:val="center"/>
        <w:textAlignment w:val="auto"/>
        <w:ind w:left="0" w:right="0" w:start="0" w:end="0"/>
        <w:adjustRightInd w:val="true"/>
        <w:spacing w:after="0" w:line="240"/>
        <w:rPr>
          <w:b w:val="true"/>
          <w:rFonts w:ascii="Times New Roman" w:eastAsia="Times New Roman" w:hAnsi="Times New Roman" w:cs="Times New Roman"/>
          <w:sz w:val="24"/>
          <w:smallCaps w:val="true"/>
        </w:rPr>
      </w:pPr>
    </w:p>
    <w:p>
      <w:pPr>
        <w:jc w:val="center"/>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smallCaps w:val="true"/>
        </w:rPr>
        <w:t xml:space="preserve">PLAN D'EPARGNE INTERENTREPRISES DE LA BRANCHE</w:t>
      </w:r>
    </w:p>
    <w:p>
      <w:pPr>
        <w:jc w:val="center"/>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smallCaps w:val="true"/>
        </w:rPr>
        <w:t xml:space="preserve">DU COMMERCE DE DETAIL ET DE GROS A PREDOMINANCE ALIMENTAIRE</w:t>
      </w:r>
    </w:p>
    <w:p>
      <w:pPr>
        <w:jc w:val="left"/>
        <w:textAlignment w:val="auto"/>
        <w:ind w:left="0" w:right="0" w:start="0" w:end="0"/>
        <w:adjustRightInd w:val="true"/>
        <w:spacing w:after="0" w:line="240"/>
        <w:pBdr>
          <w:bottom w:color="000080" w:sz="2" w:space="1" w:val="single"/>
        </w:pBdr>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color w:val="000080"/>
        </w:rPr>
      </w:pPr>
      <w:r>
        <w:rPr>
          <w:b w:val="true"/>
          <w:rFonts w:ascii="Times New Roman" w:eastAsia="Times New Roman" w:hAnsi="Times New Roman" w:cs="Times New Roman"/>
          <w:sz w:val="24"/>
          <w:color w:val="000080"/>
        </w:rPr>
        <w:t xml:space="preserve">Article 3 - FORMALITES D'ADHESION AU PLAN</w:t>
      </w: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false"/>
          <w:rFonts w:ascii="Times New Roman" w:eastAsia="Times New Roman" w:hAnsi="Times New Roman" w:cs="Times New Roman"/>
          <w:sz w:val="24"/>
        </w:rPr>
      </w:pPr>
      <w:r>
        <w:rPr>
          <w:b w:val="false"/>
          <w:rFonts w:ascii="Times New Roman" w:eastAsia="Times New Roman" w:hAnsi="Times New Roman" w:cs="Times New Roman"/>
          <w:sz w:val="24"/>
        </w:rPr>
        <w:t xml:space="preserve">Le 1</w:t>
      </w:r>
      <w:r>
        <w:rPr>
          <w:b w:val="false"/>
          <w:rFonts w:ascii="Times New Roman" w:eastAsia="Times New Roman" w:hAnsi="Times New Roman" w:cs="Times New Roman"/>
          <w:sz w:val="24"/>
          <w:vertAlign w:val="superscript"/>
        </w:rPr>
        <w:t xml:space="preserve">er</w:t>
      </w:r>
      <w:r>
        <w:rPr>
          <w:b w:val="false"/>
          <w:rFonts w:ascii="Times New Roman" w:eastAsia="Times New Roman" w:hAnsi="Times New Roman" w:cs="Times New Roman"/>
          <w:sz w:val="24"/>
        </w:rPr>
        <w:t xml:space="preserve"> paragraphe de l’article 1 - Section I de l'annexe VI est remplacé par ce qui suit</w:t>
      </w:r>
      <w:r>
        <w:rPr>
          <w:b w:val="false"/>
          <w:rFonts w:ascii="Times New Roman" w:eastAsia="Times New Roman" w:hAnsi="Times New Roman" w:cs="Times New Roman"/>
          <w:sz w:val="24"/>
        </w:rPr>
        <w:t xml:space="preserve"> </w:t>
      </w:r>
      <w:r>
        <w:rPr>
          <w:b w:val="false"/>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L’adhésion de l’entreprise se fait par l’envoi des documents d’adhésion, dûment complétés et signés, à l’établissement teneur de registre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3</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de l’article 1 est supprimé. </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br w:type="page"/>
      </w: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4 - </w:t>
      </w:r>
      <w:r>
        <w:rPr>
          <w:b w:val="true"/>
          <w:rFonts w:ascii="Times New Roman" w:eastAsia="Times New Roman" w:hAnsi="Times New Roman" w:cs="Times New Roman"/>
          <w:sz w:val="24"/>
          <w:smallCaps w:val="true"/>
        </w:rPr>
        <w:t xml:space="preserve">ALIMENTATION DU PEI</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L’article 3 est modifié comme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 2 - Versements complémentaires des employeurs (abondement)</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spacing w:after="0" w:line="240"/>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grilles comprises - est modifié ainsi :</w:t>
      </w:r>
    </w:p>
    <w:p>
      <w:pPr>
        <w:jc w:val="both"/>
        <w:textAlignment w:val="auto"/>
        <w:ind w:left="0" w:right="0" w:start="0" w:end="0"/>
        <w:spacing w:after="0" w:line="240"/>
        <w:tabs>
          <w:tab w:val="left" w:pos="426"/>
        </w:tabs>
        <w:rPr>
          <w:rFonts w:ascii="Times New Roman" w:eastAsia="Times New Roman" w:hAnsi="Times New Roman" w:cs="Times New Roman"/>
          <w:sz w:val="24"/>
        </w:rPr>
      </w:pPr>
    </w:p>
    <w:p>
      <w:pPr>
        <w:jc w:val="both"/>
        <w:textAlignment w:val="auto"/>
        <w:ind w:left="0" w:right="0" w:start="0" w:end="0"/>
        <w:spacing w:after="0" w:line="240"/>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"Chaque entreprise adhérente sélectionnera la (les) formules d'abondement applicable(s) dans les fourchettes et selon les paliers suivants :</w:t>
      </w:r>
    </w:p>
    <w:p>
      <w:pPr>
        <w:jc w:val="both"/>
        <w:textAlignment w:val="auto"/>
        <w:ind w:left="0" w:right="0" w:start="0" w:end="0"/>
        <w:spacing w:after="0" w:line="240"/>
        <w:tabs>
          <w:tab w:val="left" w:pos="426"/>
        </w:tabs>
        <w:rPr>
          <w:rFonts w:ascii="Times New Roman" w:eastAsia="Times New Roman" w:hAnsi="Times New Roman" w:cs="Times New Roman"/>
          <w:sz w:val="24"/>
        </w:rPr>
      </w:pPr>
    </w:p>
    <w:p>
      <w:pPr>
        <w:jc w:val="both"/>
        <w:textAlignment w:val="auto"/>
        <w:ind w:hanging="360" w:left="720" w:right="0" w:start="720" w:end="0"/>
        <w:spacing w:after="0" w:line="240"/>
        <w:numPr>
          <w:ilvl w:val="0"/>
          <w:numId w:val="30"/>
        </w:numPr>
        <w:tabs>
          <w:tab w:val="left" w:pos="426"/>
          <w:tab w:val="left" w:pos="720"/>
        </w:tabs>
        <w:rPr>
          <w:rFonts w:ascii="Times New Roman" w:eastAsia="Times New Roman" w:hAnsi="Times New Roman" w:cs="Times New Roman"/>
          <w:sz w:val="24"/>
        </w:rPr>
      </w:pPr>
      <w:r>
        <w:rPr>
          <w:rFonts w:ascii="Times New Roman" w:eastAsia="Times New Roman" w:hAnsi="Times New Roman" w:cs="Times New Roman"/>
          <w:sz w:val="24"/>
        </w:rPr>
        <w:t xml:space="preserve">entre 10 % et 300 % des versements des bénéficiaires, par multiple de 10,</w:t>
      </w:r>
    </w:p>
    <w:p>
      <w:pPr>
        <w:jc w:val="both"/>
        <w:textAlignment w:val="auto"/>
        <w:ind w:left="360" w:right="0" w:start="360" w:end="0"/>
        <w:spacing w:after="0" w:line="240"/>
        <w:tabs>
          <w:tab w:val="left" w:pos="426"/>
        </w:tabs>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 xml:space="preserve">et</w:t>
      </w:r>
    </w:p>
    <w:p>
      <w:pPr>
        <w:jc w:val="both"/>
        <w:textAlignment w:val="auto"/>
        <w:ind w:hanging="360" w:left="720" w:right="0" w:start="720" w:end="0"/>
        <w:spacing w:after="0" w:line="240"/>
        <w:numPr>
          <w:ilvl w:val="0"/>
          <w:numId w:val="30"/>
        </w:numPr>
        <w:tabs>
          <w:tab w:val="left" w:pos="426"/>
          <w:tab w:val="left" w:pos="720"/>
        </w:tabs>
        <w:rPr>
          <w:rFonts w:ascii="Times New Roman" w:eastAsia="Times New Roman" w:hAnsi="Times New Roman" w:cs="Times New Roman"/>
          <w:sz w:val="24"/>
        </w:rPr>
      </w:pPr>
      <w:r>
        <w:rPr>
          <w:rFonts w:ascii="Times New Roman" w:eastAsia="Times New Roman" w:hAnsi="Times New Roman" w:cs="Times New Roman"/>
          <w:sz w:val="24"/>
        </w:rPr>
        <w:t xml:space="preserve">avec un plafond d'abondement compris entre 100 euros et 2 300 euros, par multiple de 100 euros.</w:t>
      </w:r>
    </w:p>
    <w:p>
      <w:pPr>
        <w:jc w:val="both"/>
        <w:textAlignment w:val="auto"/>
        <w:ind w:left="0" w:right="0" w:start="0" w:end="0"/>
        <w:spacing w:after="0" w:line="240"/>
        <w:tabs>
          <w:tab w:val="left" w:pos="426"/>
        </w:tabs>
        <w:rPr>
          <w:rFonts w:ascii="Times New Roman" w:eastAsia="Times New Roman" w:hAnsi="Times New Roman" w:cs="Times New Roman"/>
          <w:sz w:val="24"/>
        </w:rPr>
      </w:pPr>
    </w:p>
    <w:p>
      <w:pPr>
        <w:jc w:val="both"/>
        <w:textAlignment w:val="auto"/>
        <w:ind w:left="0" w:right="0" w:start="0" w:end="0"/>
        <w:spacing w:after="0" w:line="240"/>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L'entreprise peut opter pour une formule simple en retenant un seul taux et un seul plafond (exemple : l'entreprise abonde les versements volontaires à hauteur de 100 % avec un plafond de 1 000 euros), ou pour une formule dégressive en retenant 2 taux et 2 plafonds (exemple : l'entreprise abonde à hauteur de 50 % les versements volontaires jusqu'à un plafond de 100 euros, puis à hauteur de 20 % jusqu'à un plafond de 1 000 euros)".</w:t>
      </w:r>
    </w:p>
    <w:p>
      <w:pPr>
        <w:jc w:val="both"/>
        <w:textAlignment w:val="auto"/>
        <w:ind w:left="0" w:right="0" w:start="0" w:end="0"/>
        <w:adjustRightInd w:val="true"/>
        <w:spacing w:after="0" w:line="240"/>
        <w:rPr>
          <w:b w:val="true"/>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 partie de la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phrase du 4</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commençant par "et notifiée à "est supprimée.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7</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du même article, la mention "la déduction de 5 % étant applicable" est supprimée.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3.3 - Intéressement</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 la fin de la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phrase du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de l’article 3.3,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et le ou les supports de placement choisis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supprimés.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3.4 - Participation</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 la fin de la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phrase du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de l’article 3.4,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en indiquant le ou les supports de placement choisis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supprimés.</w:t>
      </w:r>
    </w:p>
    <w:p>
      <w:pPr>
        <w:keepNext w:val="true"/>
        <w:outlineLvl w:val="1"/>
        <w:jc w:val="both"/>
        <w:textAlignment w:val="auto"/>
        <w:ind w:left="0" w:right="0" w:start="0" w:end="0"/>
        <w:adjustRightInd w:val="true"/>
        <w:spacing w:after="0" w:line="240"/>
        <w:rPr>
          <w:b w:val="true"/>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both"/>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5 - PARTICIPATION DES SALARIES AUX RESULTATS DE L'ENTREPRISE</w:t>
      </w:r>
    </w:p>
    <w:p>
      <w:pPr>
        <w:jc w:val="both"/>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false"/>
          <w:rFonts w:ascii="Times New Roman" w:eastAsia="Times New Roman" w:hAnsi="Times New Roman" w:cs="Times New Roman"/>
          <w:sz w:val="24"/>
        </w:rPr>
      </w:pPr>
      <w:r>
        <w:rPr>
          <w:b w:val="false"/>
          <w:rFonts w:ascii="Times New Roman" w:eastAsia="Times New Roman" w:hAnsi="Times New Roman" w:cs="Times New Roman"/>
          <w:sz w:val="24"/>
        </w:rPr>
        <w:t xml:space="preserve">Le 1</w:t>
      </w:r>
      <w:r>
        <w:rPr>
          <w:b w:val="false"/>
          <w:rFonts w:ascii="Times New Roman" w:eastAsia="Times New Roman" w:hAnsi="Times New Roman" w:cs="Times New Roman"/>
          <w:sz w:val="24"/>
          <w:vertAlign w:val="superscript"/>
        </w:rPr>
        <w:t xml:space="preserve">er</w:t>
      </w:r>
      <w:r>
        <w:rPr>
          <w:b w:val="false"/>
          <w:rFonts w:ascii="Times New Roman" w:eastAsia="Times New Roman" w:hAnsi="Times New Roman" w:cs="Times New Roman"/>
          <w:sz w:val="24"/>
        </w:rPr>
        <w:t xml:space="preserve"> paragraphe de l'article 4.1. est modifié ainsi qu'il suit :</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"Les droits attribués au personnel au titre de la participation aux résultats de l'entreprise sont calculés de la manière suivante, sur les bénéfices réalisées en France métropolitaine et dans les départements d'Outre-Mer, imposables au taux de droit commun de l'impôt sur le revenu ou aux taux de l'impôt sur les sociétés prévus au deuxième alinéa et au b, du I de l'article</w:t>
      </w:r>
      <w:r>
        <w:rPr>
          <w:rFonts w:ascii="Times New Roman" w:eastAsia="Times New Roman" w:hAnsi="Times New Roman" w:cs="Times New Roman"/>
          <w:sz w:val="24"/>
        </w:rPr>
        <w:br w:type="textWrapping" w:clear="none"/>
      </w:r>
      <w:r>
        <w:rPr>
          <w:rFonts w:ascii="Times New Roman" w:eastAsia="Times New Roman" w:hAnsi="Times New Roman" w:cs="Times New Roman"/>
          <w:sz w:val="24"/>
        </w:rPr>
        <w:t xml:space="preserve">219 du Code Général des Impôts et diminués de l'impôt correspondant".</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6 - GESTION DES SOMMES COLLECTEES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L’article 5 est modifié comme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i w:val="true"/>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5.3 - Emploi des revenus</w:t>
      </w:r>
    </w:p>
    <w:p>
      <w:pPr>
        <w:jc w:val="left"/>
        <w:textAlignment w:val="auto"/>
        <w:ind w:left="0" w:right="0" w:start="0" w:end="0"/>
        <w:adjustRightInd w:val="true"/>
        <w:spacing w:after="0" w:line="240"/>
        <w:rPr>
          <w:b w:val="true"/>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de l’article 5.3 est supprimé.</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5.4 - Société de gestion</w:t>
      </w:r>
    </w:p>
    <w:p>
      <w:pPr>
        <w:jc w:val="left"/>
        <w:textAlignment w:val="auto"/>
        <w:ind w:left="0" w:right="0" w:start="0" w:end="0"/>
        <w:adjustRightInd w:val="true"/>
        <w:spacing w:after="0" w:line="240"/>
        <w:tabs>
          <w:tab w:val="left" w:pos="1068"/>
        </w:tabs>
        <w:rPr>
          <w:b w:val="true"/>
          <w:rFonts w:ascii="Times New Roman" w:eastAsia="Times New Roman" w:hAnsi="Times New Roman" w:cs="Times New Roman"/>
          <w:sz w:val="24"/>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 rédaction de l’article 5.4 est remplacé par ce qui suit :</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 FCPE PACTEO LABEL est géré par le CREDIT AGRICOLE ASSET MANAGEMENT, Société Anonyme au capital de 546</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162</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915 euros, dont le Siège Social est 90, boulevard Pasteur - 75015 Paris, immatriculée au Registre du Commerce et des Sociétés de Paris sous le n° 437</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574</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452.</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Crédit Agricole Asset Management est une Société de Gestion de Portefeuille agréée par l’Autorité des Marchés Financiers sous le n° GP 04000036».</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firstLine="22"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7 - </w:t>
      </w:r>
      <w:r>
        <w:rPr>
          <w:b w:val="true"/>
          <w:rFonts w:ascii="Times New Roman" w:eastAsia="Times New Roman" w:hAnsi="Times New Roman" w:cs="Times New Roman"/>
          <w:sz w:val="24"/>
          <w:smallCaps w:val="true"/>
        </w:rPr>
        <w:t xml:space="preserve">CONSEIL DE SURVEILLANCE DU FONDS COMMUN DE PLACEMENT MULTI-ENTREPRISES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22" w:right="0" w:start="22"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de l'article 6 est remplacé par les dispositions suivantes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i w:val="true"/>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Conformément au règlement du FCPE visé à l’article 5.1, pour les entreprises adhérant au PEI ou au PERCO-I de branche, le Conseil de Surveillance du fonds </w:t>
      </w:r>
      <w:r>
        <w:rPr>
          <w:rFonts w:ascii="Times New Roman" w:eastAsia="Times New Roman" w:hAnsi="Times New Roman" w:cs="Times New Roman"/>
          <w:sz w:val="24"/>
          <w:smallCaps w:val="true"/>
        </w:rPr>
        <w:t xml:space="preserve">PACTEO LABEL</w:t>
      </w:r>
      <w:r>
        <w:rPr>
          <w:rFonts w:ascii="Times New Roman" w:eastAsia="Times New Roman" w:hAnsi="Times New Roman" w:cs="Times New Roman"/>
          <w:sz w:val="24"/>
        </w:rPr>
        <w:t xml:space="preserve">, institué en application de l’article L.214-39 du Code monétaire et financier, est composé de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hanging="360" w:left="1068" w:right="0" w:start="1068" w:end="0"/>
        <w:adjustRightInd w:val="true"/>
        <w:spacing w:after="0" w:line="240"/>
        <w:numPr>
          <w:ilvl w:val="0"/>
          <w:numId w:val="16"/>
        </w:numPr>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de 2 membres salariés porteurs de parts désignés par chaque organisation syndicale signataire de l’accord, représentant les porteurs de parts salariés et anciens salariés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hanging="360" w:left="1068" w:right="0" w:start="1068" w:end="0"/>
        <w:adjustRightInd w:val="true"/>
        <w:spacing w:after="0" w:line="240"/>
        <w:numPr>
          <w:ilvl w:val="0"/>
          <w:numId w:val="16"/>
        </w:numPr>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un nombre de membres représentant les employeurs désignés par les organisations syndicales patronales signataires de l’accord, égal à la moitié du nombre de représentants des porteurs de parts salariés et anciens salariés.</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 la suite du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il est ajouté le paragraphe suivant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Dans tous les cas, le nombre de représentants des entreprises sera au plus égal à la moitié du nombre de représentants des porteurs de parts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br w:type="page"/>
      </w: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8 - PRISE EN CHARGE DES FRAIS DE FONCTIONNEMENT</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L'article 7 est modifié ainsi qu'il suit :</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7.1 - Frais de tenue des comptes individuels</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est remplacé par le paragraphe suivant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En cas de départ du salarié de l’entreprise, ces frais cessent d’être à la charge de l’entreprise pour être supportés par le bénéficiaire concerné par prélèvement sur ses avoirs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7.2 - Frais de gestion du Fonds Commun de Placement Multi-entreprises</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 rédaction de l’article 7.2 est remplacée par ce qui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 total des frais sur encours (frais de gestion financière, de gestion administrative et comptable, de conservation …), ainsi que les frais indirects sont prélevés sur les actifs des compartiments et sont donc supportés par les bénéficiaires. Les droits d’entrée sur les versements aux compartiments sont pris en charge par les bénéficiaires.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keepNext w:val="true"/>
        <w:outlineLvl w:val="1"/>
        <w:jc w:val="left"/>
        <w:textAlignment w:val="auto"/>
        <w:ind w:hanging="1418" w:left="1418" w:right="0" w:start="1418"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9 - INFORMATION DES BENEFICIAIRES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 la fin de la dernière phrase du dernier paragraphe de l'article 8, à la suite des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 la CSG et de la CRDS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ajoutés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et des prélèvements sociaux</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keepNext w:val="true"/>
        <w:outlineLvl w:val="1"/>
        <w:jc w:val="both"/>
        <w:textAlignment w:val="auto"/>
        <w:ind w:firstLine="22"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10 - TRANSFERT D'AVOIRS DETENUS AU TITRE DE LA PARTICIPATION OU D'UN PLAN D'EPARGNE CHEZ UN EMPLOYEUR PRECEDENT</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de l’article 10 est remplacé par ce qui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 salarié qui ne demande pas la délivrance des sommes détenues au titre de la participation ou dans un plan d’épargne de son ancien employeur au moment de la rupture de son contrat de travail, peut demander qu’elles soient affectées dans le présent Plan</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keepNext w:val="true"/>
        <w:outlineLvl w:val="1"/>
        <w:jc w:val="left"/>
        <w:textAlignment w:val="auto"/>
        <w:ind w:hanging="1418" w:left="1418" w:right="0" w:start="1418"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11 - DUREE DE BLOCAGE ET CAS DE DEBLOCAGE ANTICIPE</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L’article 12 est complété comme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Tout autre cas de déblocage anticipé institué ultérieurement par voie légale ou réglementaire s’applique automatiquement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br w:type="page"/>
      </w:r>
    </w:p>
    <w:p>
      <w:pPr>
        <w:jc w:val="left"/>
        <w:textAlignment w:val="auto"/>
        <w:ind w:left="0" w:right="0" w:start="0" w:end="0"/>
        <w:adjustRightInd w:val="true"/>
        <w:spacing w:after="0" w:line="240"/>
        <w:rPr>
          <w:rFonts w:ascii="Times New Roman" w:eastAsia="Times New Roman" w:hAnsi="Times New Roman" w:cs="Times New Roman"/>
          <w:sz w:val="24"/>
          <w:color w:val="000000"/>
        </w:rPr>
      </w:pPr>
    </w:p>
    <w:p>
      <w:pPr>
        <w:jc w:val="center"/>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smallCaps w:val="true"/>
        </w:rPr>
        <w:t xml:space="preserve">SECTION II</w:t>
      </w:r>
    </w:p>
    <w:p>
      <w:pPr>
        <w:jc w:val="left"/>
        <w:textAlignment w:val="auto"/>
        <w:ind w:left="0" w:right="0" w:start="0" w:end="0"/>
        <w:adjustRightInd w:val="true"/>
        <w:spacing w:after="0" w:line="240"/>
        <w:rPr>
          <w:b w:val="false"/>
          <w:rFonts w:ascii="Times New Roman" w:eastAsia="Times New Roman" w:hAnsi="Times New Roman" w:cs="Times New Roman"/>
          <w:sz w:val="24"/>
        </w:rPr>
      </w:pPr>
    </w:p>
    <w:p>
      <w:pPr>
        <w:jc w:val="both"/>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12 - </w:t>
      </w:r>
      <w:r>
        <w:rPr>
          <w:b w:val="false"/>
          <w:rFonts w:ascii="Times New Roman" w:eastAsia="Times New Roman" w:hAnsi="Times New Roman" w:cs="Times New Roman"/>
          <w:sz w:val="24"/>
        </w:rPr>
        <w:t xml:space="preserve">Le titre de la Section II : "Plan partenarial d'épargne salariale volontaire interentreprises de la branche du commerce de détail et de gros à prédominance alimentaire" est remplacé par : </w:t>
      </w:r>
      <w:r>
        <w:rPr>
          <w:b w:val="true"/>
          <w:rFonts w:ascii="Times New Roman" w:eastAsia="Times New Roman" w:hAnsi="Times New Roman" w:cs="Times New Roman"/>
          <w:sz w:val="24"/>
        </w:rPr>
        <w:t xml:space="preserve">"PLAN D'EPARGNE POUR LA RETRAITE COLLECTIF INTERENTREPRISES DE LA BRANCHE DU COMMERCE DE DETAIL ET DE GROS A PREDOMINANCE ALIMENTAIRE"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13</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paragraphe précédant le préambule</w:t>
      </w:r>
      <w:r>
        <w:rPr>
          <w:rFonts w:ascii="Times New Roman" w:eastAsia="Times New Roman" w:hAnsi="Times New Roman" w:cs="Times New Roman"/>
          <w:sz w:val="24"/>
          <w:i w:val="true"/>
        </w:rPr>
        <w:t xml:space="preserve">, </w:t>
      </w:r>
      <w:r>
        <w:rPr>
          <w:rFonts w:ascii="Times New Roman" w:eastAsia="Times New Roman" w:hAnsi="Times New Roman" w:cs="Times New Roman"/>
          <w:sz w:val="24"/>
        </w:rPr>
        <w:t xml:space="preserve">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Plan Partenarial d’Epargne Salariale Volontaire Interentreprises (PPESVI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remplacés par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Plan d’Epargne pour la Retraite Collectif Interentreprises (PERCO-I)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14 - PREAMBULE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 1</w:t>
      </w:r>
      <w:r>
        <w:rPr>
          <w:rFonts w:ascii="Times New Roman" w:eastAsia="Times New Roman" w:hAnsi="Times New Roman" w:cs="Times New Roman"/>
          <w:sz w:val="24"/>
          <w:vertAlign w:val="superscript"/>
        </w:rPr>
        <w:t xml:space="preserve">ère</w:t>
      </w:r>
      <w:r>
        <w:rPr>
          <w:rFonts w:ascii="Times New Roman" w:eastAsia="Times New Roman" w:hAnsi="Times New Roman" w:cs="Times New Roman"/>
          <w:sz w:val="24"/>
        </w:rPr>
        <w:t xml:space="preserve"> phrase est modifiée comme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à long terme (10 ans) dans le cadre du PPESVI glissant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remplacés par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à horizon retraite dans le cadre du 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dernier paragraphe est remplacé par un paragraphe ainsi rédigé</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 présent PERCO-I de branche (ou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Plan</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mis en place conformément aux dispositions du Titre IV du Livre IV du Code du travail intitulé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Intéressement, participation et plans d’épargne salariale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tel que modifié par la loi n°2001-152 du 19 février 2001 et la loi n° 2003-775 du 21 août 2003.</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15 - </w:t>
      </w:r>
      <w:r>
        <w:rPr>
          <w:b w:val="true"/>
          <w:rFonts w:ascii="Times New Roman" w:eastAsia="Times New Roman" w:hAnsi="Times New Roman" w:cs="Times New Roman"/>
          <w:sz w:val="24"/>
          <w:smallCaps w:val="true"/>
        </w:rPr>
        <w:t xml:space="preserve">FORMALITES D'ADHESION AU PLAN</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de l’article 1 - Formalités d'adhésion au plan est supprimé.</w:t>
      </w:r>
    </w:p>
    <w:p>
      <w:pPr>
        <w:jc w:val="left"/>
        <w:textAlignment w:val="auto"/>
        <w:ind w:left="0" w:right="0" w:start="0" w:end="0"/>
        <w:adjustRightInd w:val="true"/>
        <w:spacing w:after="0" w:line="240"/>
        <w:rPr>
          <w:rFonts w:ascii="Times New Roman" w:eastAsia="Times New Roman" w:hAnsi="Times New Roman" w:cs="Times New Roman"/>
          <w:sz w:val="24"/>
          <w:i w:val="true"/>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les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et 3</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paragraphes,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du même article est remplacé par ce qui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L’adhésion de l’Entreprise se fait par l’envoi des documents d’adhésion, dûment complétés et signés, à l’établissement teneur de registre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br w:type="page"/>
      </w: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16 - BENEFICIAIRES</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de l'article 2,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 1</w:t>
      </w:r>
      <w:r>
        <w:rPr>
          <w:rFonts w:ascii="Times New Roman" w:eastAsia="Times New Roman" w:hAnsi="Times New Roman" w:cs="Times New Roman"/>
          <w:sz w:val="24"/>
          <w:vertAlign w:val="superscript"/>
        </w:rPr>
        <w:t xml:space="preserve">ère</w:t>
      </w:r>
      <w:r>
        <w:rPr>
          <w:rFonts w:ascii="Times New Roman" w:eastAsia="Times New Roman" w:hAnsi="Times New Roman" w:cs="Times New Roman"/>
          <w:sz w:val="24"/>
        </w:rPr>
        <w:t xml:space="preserve"> phrase du 3</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alinéa du même article est supprimée.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17 - ALIMENTATION DU PPESVI</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titre de l’article 3 devient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Alimentation du 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les modifications suivantes sont, en outre, apportées :</w:t>
      </w:r>
    </w:p>
    <w:p>
      <w:pPr>
        <w:jc w:val="left"/>
        <w:textAlignment w:val="auto"/>
        <w:ind w:left="0" w:right="0" w:start="0" w:end="0"/>
        <w:adjustRightInd w:val="true"/>
        <w:spacing w:after="0" w:line="240"/>
        <w:rPr>
          <w:b w:val="true"/>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3.1 - Versements volontaires des bénéficiaires</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et le dernier paragraphes,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3.2 - Versements complémentaires des employeurs (abondement)</w:t>
      </w:r>
    </w:p>
    <w:p>
      <w:pPr>
        <w:jc w:val="both"/>
        <w:textAlignment w:val="auto"/>
        <w:ind w:left="0" w:right="0" w:start="0" w:end="0"/>
        <w:adjustRightInd w:val="true"/>
        <w:spacing w:after="0" w:line="240"/>
        <w:rPr>
          <w:b w:val="true"/>
          <w:rFonts w:ascii="Times New Roman" w:eastAsia="Times New Roman" w:hAnsi="Times New Roman" w:cs="Times New Roman"/>
          <w:sz w:val="24"/>
          <w:i w:val="true"/>
        </w:rPr>
      </w:pPr>
    </w:p>
    <w:p>
      <w:pPr>
        <w:jc w:val="both"/>
        <w:textAlignment w:val="auto"/>
        <w:ind w:left="0" w:right="0" w:start="0" w:end="0"/>
        <w:spacing w:after="0" w:line="240"/>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Le 2</w:t>
      </w:r>
      <w:r>
        <w:rPr>
          <w:rFonts w:ascii="Times New Roman" w:eastAsia="Times New Roman" w:hAnsi="Times New Roman" w:cs="Times New Roman"/>
          <w:sz w:val="24"/>
          <w:vertAlign w:val="superscript"/>
        </w:rPr>
        <w:t xml:space="preserve">ème </w:t>
      </w:r>
      <w:r>
        <w:rPr>
          <w:rFonts w:ascii="Times New Roman" w:eastAsia="Times New Roman" w:hAnsi="Times New Roman" w:cs="Times New Roman"/>
          <w:sz w:val="24"/>
        </w:rPr>
        <w:t xml:space="preserve">paragraphe - grilles comprises - est remplacé par les dispositions suivantes :</w:t>
      </w:r>
    </w:p>
    <w:p>
      <w:pPr>
        <w:jc w:val="both"/>
        <w:textAlignment w:val="auto"/>
        <w:ind w:left="0" w:right="0" w:start="0" w:end="0"/>
        <w:spacing w:after="0" w:line="240"/>
        <w:tabs>
          <w:tab w:val="left" w:pos="426"/>
        </w:tabs>
        <w:rPr>
          <w:rFonts w:ascii="Times New Roman" w:eastAsia="Times New Roman" w:hAnsi="Times New Roman" w:cs="Times New Roman"/>
          <w:sz w:val="24"/>
        </w:rPr>
      </w:pPr>
    </w:p>
    <w:p>
      <w:pPr>
        <w:jc w:val="both"/>
        <w:textAlignment w:val="auto"/>
        <w:ind w:left="0" w:right="0" w:start="0" w:end="0"/>
        <w:spacing w:after="0" w:line="240"/>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"Chaque entreprise adhérente sélectionnera la (les) formules d'abondement applicables(s) dans les fourchettes et selon les paliers suivants :</w:t>
      </w:r>
    </w:p>
    <w:p>
      <w:pPr>
        <w:jc w:val="both"/>
        <w:textAlignment w:val="auto"/>
        <w:ind w:left="0" w:right="0" w:start="0" w:end="0"/>
        <w:spacing w:after="0" w:line="240"/>
        <w:tabs>
          <w:tab w:val="left" w:pos="426"/>
        </w:tabs>
        <w:rPr>
          <w:rFonts w:ascii="Times New Roman" w:eastAsia="Times New Roman" w:hAnsi="Times New Roman" w:cs="Times New Roman"/>
          <w:sz w:val="24"/>
        </w:rPr>
      </w:pPr>
    </w:p>
    <w:p>
      <w:pPr>
        <w:jc w:val="both"/>
        <w:textAlignment w:val="auto"/>
        <w:ind w:hanging="360" w:left="1068" w:right="0" w:start="1068" w:end="0"/>
        <w:spacing w:after="0" w:line="240"/>
        <w:numPr>
          <w:ilvl w:val="0"/>
          <w:numId w:val="16"/>
        </w:numPr>
        <w:tabs>
          <w:tab w:val="left" w:pos="426"/>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entre 10 % et 300 % des versements des bénéficiaires, par multiple de 10,</w:t>
      </w:r>
    </w:p>
    <w:p>
      <w:pPr>
        <w:jc w:val="both"/>
        <w:textAlignment w:val="auto"/>
        <w:ind w:left="708" w:right="0" w:start="708" w:end="0"/>
        <w:spacing w:after="0" w:line="240"/>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et</w:t>
      </w:r>
    </w:p>
    <w:p>
      <w:pPr>
        <w:jc w:val="both"/>
        <w:textAlignment w:val="auto"/>
        <w:ind w:hanging="360" w:left="1068" w:right="0" w:start="1068" w:end="0"/>
        <w:spacing w:after="0" w:line="240"/>
        <w:numPr>
          <w:ilvl w:val="0"/>
          <w:numId w:val="16"/>
        </w:numPr>
        <w:tabs>
          <w:tab w:val="left" w:pos="426"/>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avec un plafond d'abondement compris entre 100 euros et 4 600 euros, par multiple de 100 euros.</w:t>
      </w:r>
    </w:p>
    <w:p>
      <w:pPr>
        <w:jc w:val="both"/>
        <w:textAlignment w:val="auto"/>
        <w:ind w:left="0" w:right="0" w:start="0" w:end="0"/>
        <w:spacing w:after="0" w:line="240"/>
        <w:tabs>
          <w:tab w:val="left" w:pos="426"/>
        </w:tabs>
        <w:rPr>
          <w:rFonts w:ascii="Times New Roman" w:eastAsia="Times New Roman" w:hAnsi="Times New Roman" w:cs="Times New Roman"/>
          <w:sz w:val="24"/>
        </w:rPr>
      </w:pPr>
    </w:p>
    <w:p>
      <w:pPr>
        <w:jc w:val="both"/>
        <w:textAlignment w:val="auto"/>
        <w:ind w:left="0" w:right="0" w:start="0" w:end="0"/>
        <w:spacing w:after="0" w:line="240"/>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L'entreprise peut opter pour une formule simple en retenant un seul taux et un seul plafond (exemple : l'entreprise abonde les versements volontaires à hauteur de 100 % avec un plafond de 1 000 euros), ou pour une formule dégressive en retenant 2 taux et 2 plafonds (exemple : l'entreprise abonde à hauteur de 50 % les versements volontaires jusqu'à un plafond de 100 euros, puis à hauteur de 20 % jusqu'à un plafond de 1 000 euros)".</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partie de phrase du 5</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commençant par "et notifiée à" est supprimée.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4</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l'avant dernier paragraphe, la mention "la déduction de 5 % étant applicable" est supprimée.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3.3 - Intéressement</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les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et 4</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paragraphes,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 la fin de la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phrase du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et le ou les supports de placement choisis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supprimés.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3.4 - Participation</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 la fin de la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phrase de ce même paragraphe,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en indiquant le ou les supports choisis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supprimés.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3.5 - Transferts</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est remplacé par ce qui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Les sommes affectées à un PEE ou PEI, disponibles ou indisponibles, peuvent être transférées dans le présent PERCO-I mais ne font pas l’objet de versements complémentaires de l’employeur.</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 glissant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remplacés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18 - GESTION DES SOMMES COLLECTEES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Les modifications suivantes sont apportées à l'article "Gestion des sommes collectées".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4.2 - Modalités de modification de choix de placement</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est intitulé :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Gestion libre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et numéroté 4-2.1 ; dans cet article,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est supprimé.</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Il est ajouté un article 4.2-2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Gestion pilotée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rédigé comme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Afin de faciliter et optimiser les choix d’investissement des épargnants, la possibilité leur est offerte d’opter pour une gestion pilotée de leurs avoirs. La technique de gestion pilotée est une technique d’allocation automatisée entre trois compartiments du FCPE PACTEO LABEL, en fonction de l’horizon de placement retenu par le bénéficiaire. Dans cette formule, le bénéficiaire donne l’ordre au teneur de compte d’effectuer les arbitrages de placement en son nom et pour son compte. Cette formule d’allocation vise à privilégier le compartiment le plus sécuritaire au fur et à mesure du rapprochement de la date d’échéance.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Les profils d’allocation ainsi que les conditions de mise en œuvre de cette allocation pilotée font l’objet d’une présentation plus détaillée en appendice à la présente section</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dernier paragraphe actuel est intitulé "Frais des opérations" et numéroté 4-2.3 avec la rédaction suivante :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les frais se rapportant aux opérations visées aux articles 4-2.1 et 4-2.2 ci-dessus sont alors supportés par les porteurs de parts concernés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4.3 - Emploi des revenus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de l’article 4.3 est supprimé.</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4.4 - Société de gestion</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i w:val="true"/>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 rédaction de l’article 4.4 est remplacée par ce qui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 FCPE PACTEO LABEL est géré par le CREDIT AGRICOLE ASSET MANAGEMENT, Société Anonyme au capital de 546</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162</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915 euros, dont le Siège Social est 90, boulevard Pasteur - 75015 Paris, immatriculée au Registre du Commerce et des Sociétés de Paris sous le n° 437</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574</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452.</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Crédit Agricole Asset Management est une Société de Gestion de Portefeuille agréée par l’Autorité des Marchés Financiers sous le n° GP 04000036</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both"/>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19 - CONSEIL DE SURVEILLANCE DU FONDS COMMUN DE PLACEMENT MULTI-ENTREPRISES</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de l'article 5 est remplacé par ce qui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Conformément au règlement du FCPE visé à l’article 4.1, pour les entreprises adhérant au PEI ou au PERCO-I de branche, le Conseil de Surveillance du fonds </w:t>
      </w:r>
      <w:r>
        <w:rPr>
          <w:rFonts w:ascii="Times New Roman" w:eastAsia="Times New Roman" w:hAnsi="Times New Roman" w:cs="Times New Roman"/>
          <w:sz w:val="24"/>
          <w:smallCaps w:val="true"/>
        </w:rPr>
        <w:t xml:space="preserve">Pacteo Label</w:t>
      </w:r>
      <w:r>
        <w:rPr>
          <w:rFonts w:ascii="Times New Roman" w:eastAsia="Times New Roman" w:hAnsi="Times New Roman" w:cs="Times New Roman"/>
          <w:sz w:val="24"/>
        </w:rPr>
        <w:t xml:space="preserve">, institué en application de l’article L.214-39 du Code monétaire et financier, est composé de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hanging="360" w:left="1068" w:right="0" w:start="1068" w:end="0"/>
        <w:adjustRightInd w:val="true"/>
        <w:spacing w:after="0" w:line="240"/>
        <w:numPr>
          <w:ilvl w:val="0"/>
          <w:numId w:val="16"/>
        </w:numPr>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de 2 membres salariés porteurs de parts désignés par chaque organisation syndicale signataire de l’accord, représentant les porteurs de parts salariés et anciens salariés, désignés par les organisations syndicales des entreprises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hanging="360" w:left="1068" w:right="0" w:start="1068" w:end="0"/>
        <w:adjustRightInd w:val="true"/>
        <w:spacing w:after="0" w:line="240"/>
        <w:numPr>
          <w:ilvl w:val="0"/>
          <w:numId w:val="16"/>
        </w:numPr>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un nombre de membres représentant les employeurs désignés par les organisations syndicales patronales signataires de l’accord, égal à la moitié du nombre de représentants des porteurs de parts salariés et anciens salariés.</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 la suite du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il est ajouté un paragraphe rédigé comme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Dans tous les cas, le nombre de représentants des entreprises sera au plus égal à la moitié du nombre de représentants des porteurs de parts.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br w:type="page"/>
      </w: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20 - PRISE EN CHARGE DES FRAIS DE FONCTIONNEMENT</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6.1 - Frais de tenue de compte individuel</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L'article 6 est modifié comme suit :</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Dans 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est remplacé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 est remplacé par le paragraphe suivant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En cas de départ du salarié de l’entreprise, ces frais cessent d’être à la charge de l’entreprise pour être supportés par le bénéficiaire concerné par prélèvement sur ses avoirs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i w:val="true"/>
        </w:rPr>
      </w:pPr>
    </w:p>
    <w:p>
      <w:pPr>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6.2 - Frais de gestion du Fonds Commun de Placement Multientreprises</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 rédaction de l’article 6.2 est remplacée par ce qui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 total des frais sur encours (frais de gestion financière, de gestion administrative et comptable, de conservation …), ainsi que les frais indirects sont prélevés sur les actifs des compartiments et sont donc supportés par les bénéficiaires. Les droits d’entrée sur les versements aux compartiments sont pris en charge par les bénéficiaires.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21 - INFORMATIONS DES BENEFICIAIRES</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i w:val="true"/>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Dans les 2</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et 3</w:t>
      </w:r>
      <w:r>
        <w:rPr>
          <w:rFonts w:ascii="Times New Roman" w:eastAsia="Times New Roman" w:hAnsi="Times New Roman" w:cs="Times New Roman"/>
          <w:sz w:val="24"/>
          <w:vertAlign w:val="superscript"/>
        </w:rPr>
        <w:t xml:space="preserve">ème</w:t>
      </w:r>
      <w:r>
        <w:rPr>
          <w:rFonts w:ascii="Times New Roman" w:eastAsia="Times New Roman" w:hAnsi="Times New Roman" w:cs="Times New Roman"/>
          <w:sz w:val="24"/>
        </w:rPr>
        <w:t xml:space="preserve"> paragraphes de l'article 7,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PPESVI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remplacés par le mot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PERCO-I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A la fin de la dernière phrase du dernier paragraphe, à la suite des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 la CSG et de la CRDS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sont ajoutés les mots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et des prélèvements sociaux</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left"/>
        <w:textAlignment w:val="auto"/>
        <w:ind w:left="0" w:right="0" w:start="0" w:end="0"/>
        <w:adjustRightInd w:val="true"/>
        <w:spacing w:after="0" w:line="240"/>
        <w:tabs>
          <w:tab w:val="left" w:pos="1068"/>
        </w:tabs>
        <w:rPr>
          <w:rFonts w:ascii="Times New Roman" w:eastAsia="Times New Roman" w:hAnsi="Times New Roman" w:cs="Times New Roman"/>
          <w:sz w:val="24"/>
        </w:rPr>
      </w:pPr>
    </w:p>
    <w:p>
      <w:pPr>
        <w:keepNext w:val="true"/>
        <w:outlineLvl w:val="1"/>
        <w:jc w:val="both"/>
        <w:textAlignment w:val="auto"/>
        <w:ind w:firstLine="22"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22 - TRANSFERT D'AVOIRS DETENUS AU TITRE DE LA PARTICIPATION OU D'UN PLAN D'EPARGNE CHEZ UN EMPLOYEUR PRECEDENT</w:t>
      </w:r>
    </w:p>
    <w:p>
      <w:pPr>
        <w:jc w:val="both"/>
        <w:textAlignment w:val="auto"/>
        <w:ind w:left="0" w:right="0" w:start="0" w:end="0"/>
        <w:adjustRightInd w:val="true"/>
        <w:spacing w:after="0" w:line="240"/>
        <w:rPr>
          <w:rFonts w:ascii="Times New Roman" w:eastAsia="Times New Roman" w:hAnsi="Times New Roman" w:cs="Times New Roman"/>
          <w:sz w:val="24"/>
          <w:i w:val="true"/>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paragraphe de l’article 9 est remplacé par ce qui suit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 salarié qui ne demande pas la délivrance des sommes détenues au titre de la participation ou dans un plan d’épargne de son ancien employeur au moment de la rupture de son contrat de travail, peut demander qu’elles soient affectées dans le Plan</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 dernière phrase du dernier paragraphe de cet article est supprimée.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b w:val="true"/>
          <w:rFonts w:ascii="Times New Roman" w:eastAsia="Times New Roman" w:hAnsi="Times New Roman" w:cs="Times New Roman"/>
          <w:sz w:val="24"/>
        </w:rPr>
      </w:pPr>
      <w:r>
        <w:rPr>
          <w:b w:val="true"/>
          <w:rFonts w:ascii="Times New Roman" w:eastAsia="Times New Roman" w:hAnsi="Times New Roman" w:cs="Times New Roman"/>
          <w:sz w:val="24"/>
        </w:rPr>
        <w:br w:type="page"/>
      </w:r>
    </w:p>
    <w:p>
      <w:pPr>
        <w:jc w:val="both"/>
        <w:textAlignment w:val="auto"/>
        <w:ind w:left="0" w:right="0" w:start="0" w:end="0"/>
        <w:adjustRightInd w:val="true"/>
        <w:spacing w:after="0" w:line="240"/>
        <w:tabs>
          <w:tab w:val="left" w:pos="1068"/>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23 - DUREE DE BLOCAGE ET CAS DE DEBLOCAGE ANTICIPE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La rédaction de l’article 11 est remplacée par ce qui suit :</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Les sommes affectées au PERCO-I seront disponibles à compter du départ à la retraite.</w:t>
      </w:r>
    </w:p>
    <w:p>
      <w:pPr>
        <w:jc w:val="both"/>
        <w:textAlignment w:val="auto"/>
        <w:ind w:left="0" w:right="0" w:start="0" w:end="0"/>
        <w:adjustRightInd w:val="true"/>
        <w:spacing w:after="0" w:line="240"/>
        <w:tabs>
          <w:tab w:val="left" w:pos="1068"/>
        </w:tabs>
        <w:rPr>
          <w:rFonts w:ascii="Arial" w:eastAsia="Arial" w:hAnsi="Arial" w:cs="Arial"/>
          <w:sz w:val="24"/>
          <w:color w:val="000080"/>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Les avoirs détenus dans le PERCO-I peuvent être exceptionnellement remboursés avant le départ à la retraite, dans les cas suivants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708" w:right="0" w:start="708" w:end="0"/>
        <w:adjustRightInd w:val="true"/>
        <w:spacing w:after="0" w:line="240"/>
        <w:tabs>
          <w:tab w:val="left" w:pos="1068"/>
        </w:tabs>
        <w:rPr>
          <w:rFonts w:ascii="Times New Roman" w:eastAsia="Times New Roman" w:hAnsi="Times New Roman" w:cs="Times New Roman"/>
          <w:sz w:val="24"/>
        </w:rPr>
      </w:pPr>
    </w:p>
    <w:p>
      <w:pPr>
        <w:jc w:val="both"/>
        <w:textAlignment w:val="auto"/>
        <w:ind w:hanging="360" w:left="1068" w:right="0" w:start="1068" w:end="0"/>
        <w:adjustRightInd w:val="true"/>
        <w:spacing w:after="0" w:line="240"/>
        <w:numPr>
          <w:ilvl w:val="0"/>
          <w:numId w:val="22"/>
        </w:numPr>
        <w:tabs>
          <w:tab w:val="left" w:pos="360"/>
        </w:tabs>
        <w:rPr>
          <w:rFonts w:ascii="Times New Roman" w:eastAsia="Times New Roman" w:hAnsi="Times New Roman" w:cs="Times New Roman"/>
          <w:sz w:val="24"/>
        </w:rPr>
      </w:pPr>
      <w:r>
        <w:rPr>
          <w:rFonts w:ascii="Times New Roman" w:eastAsia="Times New Roman" w:hAnsi="Times New Roman" w:cs="Times New Roman"/>
          <w:sz w:val="24"/>
        </w:rPr>
        <w:t xml:space="preserve">Décès du bénéficiaire, de son conjoint ou de la personne qui lui est liée par un pacte civil de solidarité</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en cas de décès de l’adhérent, il appartient à ses ayants droit de demander la liquidation de ses droits. Dans ce cas, les dispositions du 4 du III de l’article 150-0-A du code général des impôts, cessent d’être applicables à l’expiration des délais fixés par l’article 641 du même code.</w:t>
      </w:r>
    </w:p>
    <w:p>
      <w:pPr>
        <w:jc w:val="both"/>
        <w:textAlignment w:val="auto"/>
        <w:ind w:left="708" w:right="0" w:start="708" w:end="0"/>
        <w:adjustRightInd w:val="true"/>
        <w:spacing w:after="0" w:line="240"/>
        <w:tabs>
          <w:tab w:val="left" w:pos="1068"/>
        </w:tabs>
        <w:rPr>
          <w:rFonts w:ascii="Times New Roman" w:eastAsia="Times New Roman" w:hAnsi="Times New Roman" w:cs="Times New Roman"/>
          <w:sz w:val="24"/>
        </w:rPr>
      </w:pPr>
    </w:p>
    <w:p>
      <w:pPr>
        <w:jc w:val="both"/>
        <w:textAlignment w:val="auto"/>
        <w:ind w:hanging="360" w:left="1068" w:right="0" w:start="1068" w:end="0"/>
        <w:adjustRightInd w:val="true"/>
        <w:spacing w:after="0" w:line="240"/>
        <w:numPr>
          <w:ilvl w:val="0"/>
          <w:numId w:val="22"/>
        </w:numPr>
        <w:tabs>
          <w:tab w:val="left" w:pos="360"/>
        </w:tabs>
        <w:rPr>
          <w:rFonts w:ascii="Times New Roman" w:eastAsia="Times New Roman" w:hAnsi="Times New Roman" w:cs="Times New Roman"/>
          <w:sz w:val="24"/>
        </w:rPr>
      </w:pPr>
      <w:r>
        <w:rPr>
          <w:rFonts w:ascii="Times New Roman" w:eastAsia="Times New Roman" w:hAnsi="Times New Roman" w:cs="Times New Roman"/>
          <w:sz w:val="24"/>
        </w:rPr>
        <w:t xml:space="preserve">Expiration des droits à l'assurance chômage du bénéficiaire.</w:t>
      </w:r>
    </w:p>
    <w:p>
      <w:pPr>
        <w:jc w:val="both"/>
        <w:textAlignment w:val="auto"/>
        <w:ind w:left="708" w:right="0" w:start="708" w:end="0"/>
        <w:adjustRightInd w:val="true"/>
        <w:spacing w:after="0" w:line="240"/>
        <w:tabs>
          <w:tab w:val="left" w:pos="1068"/>
        </w:tabs>
        <w:rPr>
          <w:rFonts w:ascii="Times New Roman" w:eastAsia="Times New Roman" w:hAnsi="Times New Roman" w:cs="Times New Roman"/>
          <w:sz w:val="24"/>
        </w:rPr>
      </w:pPr>
    </w:p>
    <w:p>
      <w:pPr>
        <w:jc w:val="both"/>
        <w:textAlignment w:val="auto"/>
        <w:ind w:hanging="360" w:left="1068" w:right="0" w:start="1068" w:end="0"/>
        <w:adjustRightInd w:val="true"/>
        <w:spacing w:after="0" w:line="240"/>
        <w:numPr>
          <w:ilvl w:val="0"/>
          <w:numId w:val="22"/>
        </w:numPr>
        <w:tabs>
          <w:tab w:val="left" w:pos="360"/>
        </w:tabs>
        <w:rPr>
          <w:rFonts w:ascii="Times New Roman" w:eastAsia="Times New Roman" w:hAnsi="Times New Roman" w:cs="Times New Roman"/>
          <w:sz w:val="24"/>
        </w:rPr>
      </w:pPr>
      <w:r>
        <w:rPr>
          <w:rFonts w:ascii="Times New Roman" w:eastAsia="Times New Roman" w:hAnsi="Times New Roman" w:cs="Times New Roman"/>
          <w:sz w:val="24"/>
        </w:rPr>
        <w:t xml:space="preserve">Invalidité du bénéficiaire, de ses enfants, de son conjoint ou de la personne qui lui est liée par un pacte civil de solidarité</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cette invalidité s'apprécie au regard des 2º</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et 3º</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 l'article L.</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341-4 du Code de sécurité sociale, ou doit être reconnue par décision de la commission technique d'orientation et de reclassement professionnel ou de la commission départementale de l'éducation spéciale à condition que le taux d'incapacité atteigne au moins 80</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et que l'intéressé n'exerce aucune activité professionnelle.</w:t>
      </w:r>
    </w:p>
    <w:p>
      <w:pPr>
        <w:jc w:val="both"/>
        <w:textAlignment w:val="auto"/>
        <w:ind w:left="1068" w:right="0" w:start="1068"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déblocage pour chacun de ces motifs ne peut intervenir qu’une seule fois.</w:t>
      </w:r>
    </w:p>
    <w:p>
      <w:pPr>
        <w:jc w:val="both"/>
        <w:textAlignment w:val="auto"/>
        <w:ind w:left="708" w:right="0" w:start="708" w:end="0"/>
        <w:adjustRightInd w:val="true"/>
        <w:spacing w:after="0" w:line="240"/>
        <w:tabs>
          <w:tab w:val="left" w:pos="1068"/>
        </w:tabs>
        <w:rPr>
          <w:rFonts w:ascii="Times New Roman" w:eastAsia="Times New Roman" w:hAnsi="Times New Roman" w:cs="Times New Roman"/>
          <w:sz w:val="24"/>
        </w:rPr>
      </w:pPr>
    </w:p>
    <w:p>
      <w:pPr>
        <w:jc w:val="both"/>
        <w:textAlignment w:val="auto"/>
        <w:ind w:hanging="360" w:left="1068" w:right="0" w:start="1068" w:end="0"/>
        <w:adjustRightInd w:val="true"/>
        <w:spacing w:after="0" w:line="240"/>
        <w:numPr>
          <w:ilvl w:val="0"/>
          <w:numId w:val="22"/>
        </w:numPr>
        <w:tabs>
          <w:tab w:val="left" w:pos="360"/>
        </w:tabs>
        <w:rPr>
          <w:rFonts w:ascii="Times New Roman" w:eastAsia="Times New Roman" w:hAnsi="Times New Roman" w:cs="Times New Roman"/>
          <w:sz w:val="24"/>
        </w:rPr>
      </w:pPr>
      <w:r>
        <w:rPr>
          <w:rFonts w:ascii="Times New Roman" w:eastAsia="Times New Roman" w:hAnsi="Times New Roman" w:cs="Times New Roman"/>
          <w:sz w:val="24"/>
        </w:rPr>
        <w:t xml:space="preserve">Situation de surendettement du bénéficiaire définie à l'article L.</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331-2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w:t>
      </w:r>
    </w:p>
    <w:p>
      <w:pPr>
        <w:jc w:val="both"/>
        <w:textAlignment w:val="auto"/>
        <w:ind w:left="708" w:right="0" w:start="708" w:end="0"/>
        <w:adjustRightInd w:val="true"/>
        <w:spacing w:after="0" w:line="240"/>
        <w:tabs>
          <w:tab w:val="left" w:pos="1068"/>
        </w:tabs>
        <w:rPr>
          <w:rFonts w:ascii="Arial" w:eastAsia="Arial" w:hAnsi="Arial" w:cs="Arial"/>
          <w:sz w:val="24"/>
          <w:color w:val="000080"/>
        </w:rPr>
      </w:pPr>
    </w:p>
    <w:p>
      <w:pPr>
        <w:jc w:val="both"/>
        <w:textAlignment w:val="auto"/>
        <w:ind w:hanging="360" w:left="1068" w:right="0" w:start="1068" w:end="0"/>
        <w:adjustRightInd w:val="true"/>
        <w:spacing w:after="0" w:line="240"/>
        <w:numPr>
          <w:ilvl w:val="0"/>
          <w:numId w:val="22"/>
        </w:numPr>
        <w:tabs>
          <w:tab w:val="left" w:pos="360"/>
        </w:tabs>
        <w:rPr>
          <w:rFonts w:ascii="Times New Roman" w:eastAsia="Times New Roman" w:hAnsi="Times New Roman" w:cs="Times New Roman"/>
          <w:sz w:val="24"/>
        </w:rPr>
      </w:pPr>
      <w:r>
        <w:rPr>
          <w:rFonts w:ascii="Times New Roman" w:eastAsia="Times New Roman" w:hAnsi="Times New Roman" w:cs="Times New Roman"/>
          <w:sz w:val="24"/>
        </w:rPr>
        <w:t xml:space="preserve">Affectation des sommes épargnées à l'acquisition ou à la remise en état de la résidence principale endommagée à la suite d'une catastrophe naturelle reconnue par arrêté ministériel.</w:t>
      </w:r>
    </w:p>
    <w:p>
      <w:pPr>
        <w:jc w:val="both"/>
        <w:textAlignment w:val="auto"/>
        <w:ind w:left="708" w:right="0" w:start="708"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Tout autre cas de déblocage institué ultérieurement par voie légale ou réglementaire s’appliquera automatiquement.</w:t>
      </w:r>
    </w:p>
    <w:p>
      <w:pPr>
        <w:jc w:val="both"/>
        <w:textAlignment w:val="auto"/>
        <w:ind w:left="0" w:right="0" w:start="0" w:end="0"/>
        <w:adjustRightInd w:val="true"/>
        <w:spacing w:after="0" w:line="240"/>
        <w:tabs>
          <w:tab w:val="left" w:pos="1068"/>
        </w:tabs>
        <w:rPr>
          <w:rFonts w:ascii="Arial" w:eastAsia="Arial" w:hAnsi="Arial" w:cs="Arial"/>
          <w:sz w:val="24"/>
          <w:color w:val="000080"/>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 levée anticipée de l'indisponibilité intervient sous forme d'un versement unique qui porte, au choix du bénéficiaire, sur tout ou partie des droits susceptibles d'être débloqués.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br w:type="page"/>
      </w: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24 - RETRAIT DES FONDS</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smallCaps w:val="true"/>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 rédaction de l’article est ainsi modifiée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Comme le permet l’article L.443-1-2 du Code du travail, les parties signataires de l’accord ont souhaité ouvrir la possibilité d’une délivrance des fonds détenus dans le présent PERCO-I en capital.</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smallCaps w:val="true"/>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L’épargne devenue disponible à l'issue du délai de blocage peut ainsi, au choix du bénéficiaire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jc w:val="both"/>
        <w:textAlignment w:val="auto"/>
        <w:ind w:left="708" w:right="0" w:start="708" w:end="0"/>
        <w:adjustRightInd w:val="true"/>
        <w:spacing w:after="0" w:line="240"/>
        <w:tabs>
          <w:tab w:val="left" w:pos="1068"/>
        </w:tabs>
        <w:rPr>
          <w:rFonts w:ascii="Arial" w:eastAsia="Arial" w:hAnsi="Arial" w:cs="Arial"/>
          <w:sz w:val="24"/>
          <w:color w:val="000080"/>
        </w:rPr>
      </w:pPr>
    </w:p>
    <w:p>
      <w:pPr>
        <w:jc w:val="both"/>
        <w:textAlignment w:val="auto"/>
        <w:ind w:hanging="360" w:left="1068" w:right="0" w:start="1068" w:end="0"/>
        <w:adjustRightInd w:val="true"/>
        <w:spacing w:after="0" w:line="240"/>
        <w:numPr>
          <w:ilvl w:val="0"/>
          <w:numId w:val="25"/>
        </w:numPr>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être débloquée sous forme de rente viagère acquise à titre onéreux.</w:t>
      </w:r>
    </w:p>
    <w:p>
      <w:pPr>
        <w:jc w:val="both"/>
        <w:textAlignment w:val="auto"/>
        <w:ind w:left="1068" w:right="0" w:start="1068"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Dans ce cas, le bénéficiaire se rapprochera de l’assureur désigné par le teneur de compte, au moment de la demande de déblocage.</w:t>
      </w:r>
    </w:p>
    <w:p>
      <w:pPr>
        <w:jc w:val="both"/>
        <w:textAlignment w:val="auto"/>
        <w:ind w:left="1068" w:right="0" w:start="1068"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L’assureur désigné est PREDICA, compagnie d’assurance, 50/56 rue de la Procession, 75015 PARIS.</w:t>
      </w:r>
    </w:p>
    <w:p>
      <w:pPr>
        <w:jc w:val="both"/>
        <w:textAlignment w:val="auto"/>
        <w:ind w:left="1068" w:right="0" w:start="1068"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 rente viagère à titre onéreux est imposée à l’impôt sur le revenu dans la catégorie des traitements, salaires et pensions pour une fraction déterminée qui varie en fonction de l’âge du débirentier.</w:t>
      </w:r>
    </w:p>
    <w:p>
      <w:pPr>
        <w:jc w:val="both"/>
        <w:textAlignment w:val="auto"/>
        <w:ind w:left="1068" w:right="0" w:start="1068" w:end="0"/>
        <w:adjustRightInd w:val="true"/>
        <w:spacing w:after="0" w:line="240"/>
        <w:tabs>
          <w:tab w:val="left" w:pos="1068"/>
        </w:tabs>
        <w:rPr>
          <w:rFonts w:ascii="Times New Roman" w:eastAsia="Times New Roman" w:hAnsi="Times New Roman" w:cs="Times New Roman"/>
          <w:sz w:val="24"/>
        </w:rPr>
      </w:pPr>
    </w:p>
    <w:p>
      <w:pPr>
        <w:jc w:val="both"/>
        <w:textAlignment w:val="auto"/>
        <w:ind w:hanging="360" w:left="1068" w:right="0" w:start="1068" w:end="0"/>
        <w:adjustRightInd w:val="true"/>
        <w:spacing w:after="0" w:line="240"/>
        <w:numPr>
          <w:ilvl w:val="0"/>
          <w:numId w:val="25"/>
        </w:numPr>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être débloquée en capital en une fois seulement ou de manière fractionnée.</w:t>
      </w:r>
    </w:p>
    <w:p>
      <w:pPr>
        <w:jc w:val="both"/>
        <w:textAlignment w:val="auto"/>
        <w:ind w:left="1068" w:right="0" w:start="1068"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Le déblocage en capital bénéficie des avantages fiscaux et sociaux attachés à l’épargne salariale, à l’exception de la perception de la CSG/CRDS et des prélèvements sociaux.</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Le bénéficiaire pourra choisir l’un ou l’autre de ces modes de déblocage ou bien choisir conjointement ces deux modes. </w:t>
      </w:r>
    </w:p>
    <w:p>
      <w:pPr>
        <w:jc w:val="both"/>
        <w:textAlignment w:val="auto"/>
        <w:ind w:left="0" w:right="0" w:start="0" w:end="0"/>
        <w:adjustRightInd w:val="true"/>
        <w:spacing w:after="0" w:line="240"/>
        <w:tabs>
          <w:tab w:val="left" w:pos="1068"/>
        </w:tabs>
        <w:rPr>
          <w:rFonts w:ascii="Arial" w:eastAsia="Arial" w:hAnsi="Arial" w:cs="Arial"/>
          <w:sz w:val="24"/>
          <w:color w:val="000080"/>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Conformément aux dispositions de l’article R.443-1-2 du Code du travail, l’épargnant précise son choix concernant le mode de délivrance de ses avoirs, lors du déblocage des sommes.</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smallCaps w:val="true"/>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rPr>
      </w:pPr>
      <w:r>
        <w:rPr>
          <w:rFonts w:ascii="Times New Roman" w:eastAsia="Times New Roman" w:hAnsi="Times New Roman" w:cs="Times New Roman"/>
          <w:sz w:val="24"/>
        </w:rPr>
        <w:t xml:space="preserve">La demande de remboursement accompagnée, le cas échéant, des pièces nécessaires pour justifier le déblocage anticipé de l’épargne, est adressée à la société chargée de la tenue de registre des comptes individuels des bénéficiaires.</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smallCaps w:val="true"/>
        </w:rPr>
      </w:pPr>
      <w:r>
        <w:rPr>
          <w:rFonts w:ascii="Times New Roman" w:eastAsia="Times New Roman" w:hAnsi="Times New Roman" w:cs="Times New Roman"/>
          <w:sz w:val="24"/>
        </w:rPr>
        <w:t xml:space="preserve">Adresse postale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smallCaps w:val="true"/>
        </w:rPr>
        <w:t xml:space="preserve">Credit Lyonnais Epargne Entreprise – TSA 29956, 26956 Valence Cedex 9</w:t>
      </w:r>
      <w:r>
        <w:rPr>
          <w:rFonts w:ascii="Times New Roman" w:eastAsia="Times New Roman" w:hAnsi="Times New Roman" w:cs="Times New Roman"/>
          <w:sz w:val="24"/>
          <w:smallCaps w:val="true"/>
        </w:rPr>
        <w:t xml:space="preserve"> </w:t>
      </w:r>
      <w:r>
        <w:rPr>
          <w:rFonts w:ascii="Times New Roman" w:eastAsia="Times New Roman" w:hAnsi="Times New Roman" w:cs="Times New Roman"/>
          <w:sz w:val="24"/>
          <w:smallCaps w:val="true"/>
        </w:rPr>
        <w:t xml:space="preserve">».</w:t>
      </w: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smallCaps w:val="true"/>
        </w:rPr>
      </w:pPr>
    </w:p>
    <w:p>
      <w:pPr>
        <w:jc w:val="both"/>
        <w:textAlignment w:val="auto"/>
        <w:ind w:left="0" w:right="0" w:start="0" w:end="0"/>
        <w:adjustRightInd w:val="true"/>
        <w:spacing w:after="0" w:line="240"/>
        <w:tabs>
          <w:tab w:val="left" w:pos="1068"/>
        </w:tabs>
        <w:rPr>
          <w:rFonts w:ascii="Times New Roman" w:eastAsia="Times New Roman" w:hAnsi="Times New Roman" w:cs="Times New Roman"/>
          <w:sz w:val="24"/>
          <w:smallCaps w:val="true"/>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25 - DUREE</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Dans l'article 13 - DUREE, le terme "PPESVI" est remplacé par "PERCO I".</w:t>
      </w: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br w:type="page"/>
      </w:r>
    </w:p>
    <w:p>
      <w:pPr>
        <w:keepNext w:val="true"/>
        <w:outlineLvl w:val="1"/>
        <w:jc w:val="left"/>
        <w:textAlignment w:val="auto"/>
        <w:ind w:left="0" w:right="0" w:start="0" w:end="0"/>
        <w:adjustRightInd w:val="true"/>
        <w:spacing w:after="0" w:line="240"/>
        <w:rPr>
          <w:b w:val="true"/>
          <w:rFonts w:ascii="Times New Roman" w:eastAsia="Times New Roman" w:hAnsi="Times New Roman" w:cs="Times New Roman"/>
          <w:sz w:val="24"/>
          <w:smallCaps w:val="true"/>
        </w:rPr>
      </w:pPr>
      <w:r>
        <w:rPr>
          <w:b w:val="true"/>
          <w:rFonts w:ascii="Times New Roman" w:eastAsia="Times New Roman" w:hAnsi="Times New Roman" w:cs="Times New Roman"/>
          <w:sz w:val="24"/>
        </w:rPr>
        <w:t xml:space="preserve">Article 26 - </w:t>
      </w:r>
      <w:r>
        <w:rPr>
          <w:b w:val="true"/>
          <w:rFonts w:ascii="Times New Roman" w:eastAsia="Times New Roman" w:hAnsi="Times New Roman" w:cs="Times New Roman"/>
          <w:sz w:val="24"/>
          <w:smallCaps w:val="true"/>
        </w:rPr>
        <w:t xml:space="preserve">APPENDICE A LA SECTION II - </w:t>
      </w:r>
      <w:r>
        <w:rPr>
          <w:b w:val="true"/>
          <w:rFonts w:ascii="Times New Roman" w:eastAsia="Times New Roman" w:hAnsi="Times New Roman" w:cs="Times New Roman"/>
          <w:sz w:val="24"/>
        </w:rPr>
        <w:t xml:space="preserve">CRITERES DE CHOIX ET LISTE DES FORMULES DE PLACEMENT</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Est insérée en appendice, après le tableau présentant la composition et la stratégie de placement des 5 compartiments, la notice présentant l'option "PERCO I pilotée" jointe ci-après au présent avenant.</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p>
    <w:p>
      <w:pPr>
        <w:keepNext w:val="true"/>
        <w:outlineLvl w:val="0"/>
        <w:jc w:val="left"/>
        <w:textAlignment w:val="auto"/>
        <w:ind w:left="0" w:right="0" w:start="0" w:end="0"/>
        <w:adjustRightInd w:val="true"/>
        <w:spacing w:after="0" w:line="240"/>
        <w:rPr>
          <w:b w:val="false"/>
          <w:rFonts w:ascii="Times New Roman" w:eastAsia="Times New Roman" w:hAnsi="Times New Roman" w:cs="Times New Roman"/>
          <w:sz w:val="24"/>
        </w:rPr>
      </w:pPr>
      <w:r>
        <w:rPr>
          <w:b w:val="true"/>
          <w:rFonts w:ascii="Times New Roman" w:eastAsia="Times New Roman" w:hAnsi="Times New Roman" w:cs="Times New Roman"/>
          <w:sz w:val="24"/>
        </w:rPr>
        <w:t xml:space="preserve">Article 27 - DATE D’APPLICATION</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présent avenant est applicable au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janvier 2005.</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p>
    <w:p>
      <w:pPr>
        <w:keepNext w:val="true"/>
        <w:outlineLvl w:val="0"/>
        <w:jc w:val="left"/>
        <w:textAlignment w:val="auto"/>
        <w:ind w:left="0" w:right="0" w:start="0" w:end="0"/>
        <w:adjustRightInd w:val="true"/>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28 - PUBLICITÉ</w:t>
      </w:r>
    </w:p>
    <w:p>
      <w:pPr>
        <w:jc w:val="left"/>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 présent accord sera déposé en cinq exemplaires à la Direction Départementale de l’Emploi et de la Formation Professionnelle, 18, avenue Parmentier 75011 Paris.</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p>
    <w:p>
      <w:pPr>
        <w:keepNext w:val="true"/>
        <w:outlineLvl w:val="0"/>
        <w:jc w:val="both"/>
        <w:textAlignment w:val="auto"/>
        <w:ind w:left="0" w:right="0" w:start="0" w:end="0"/>
        <w:adjustRightInd w:val="true"/>
        <w:spacing w:after="0" w:line="240"/>
        <w:rPr>
          <w:b w:val="false"/>
          <w:rFonts w:ascii="Times New Roman" w:eastAsia="Times New Roman" w:hAnsi="Times New Roman" w:cs="Times New Roman"/>
          <w:sz w:val="24"/>
        </w:rPr>
      </w:pPr>
      <w:r>
        <w:rPr>
          <w:b w:val="true"/>
          <w:rFonts w:ascii="Times New Roman" w:eastAsia="Times New Roman" w:hAnsi="Times New Roman" w:cs="Times New Roman"/>
          <w:sz w:val="24"/>
        </w:rPr>
        <w:t xml:space="preserve">Article 29 - EXTENSION</w:t>
      </w:r>
    </w:p>
    <w:p>
      <w:pPr>
        <w:jc w:val="both"/>
        <w:textAlignment w:val="auto"/>
        <w:ind w:left="0" w:right="0" w:start="0" w:end="0"/>
        <w:adjustRightInd w:val="true"/>
        <w:spacing w:after="0" w:line="240"/>
        <w:rPr>
          <w:rFonts w:ascii="Times New Roman" w:eastAsia="Times New Roman" w:hAnsi="Times New Roman" w:cs="Times New Roman"/>
          <w:sz w:val="24"/>
        </w:rPr>
      </w:pPr>
    </w:p>
    <w:p>
      <w:pPr>
        <w:jc w:val="both"/>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t xml:space="preserve">Les parties signataires sont convenues de demander sans délai l’extension du présent avenant, la Fédération des entreprises du Commerce et de la Distribution étant chargée des formalités à accomplir à cette fin.</w:t>
      </w:r>
    </w:p>
    <w:p>
      <w:pPr>
        <w:jc w:val="left"/>
        <w:textAlignment w:val="auto"/>
        <w:ind w:left="0" w:right="0" w:start="0" w:end="0"/>
        <w:adjustRightInd w:val="true"/>
        <w:spacing w:after="0" w:line="240"/>
        <w:rPr>
          <w:rFonts w:ascii="Times New Roman" w:eastAsia="Times New Roman" w:hAnsi="Times New Roman" w:cs="Times New Roman"/>
          <w:sz w:val="22"/>
        </w:rPr>
      </w:pPr>
    </w:p>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 xml:space="preserve">Fait à Paris, le 10 novembre 2004</w:t>
      </w:r>
    </w:p>
    <w:p>
      <w:pPr>
        <w:jc w:val="both"/>
        <w:textAlignment w:val="auto"/>
        <w:ind w:left="0" w:right="0" w:start="0" w:end="0"/>
        <w:adjustRightInd w:val="true"/>
        <w:spacing w:after="0" w:line="240"/>
        <w:rPr>
          <w:rFonts w:ascii="Times New Roman" w:eastAsia="Times New Roman" w:hAnsi="Times New Roman" w:cs="Times New Roman"/>
          <w:sz w:val="24"/>
        </w:rPr>
      </w:pPr>
    </w:p>
    <w:tbl>
      <w:tblPr>
        <w:tblLayout w:type="fixed"/>
        <w:tblInd w:w="-70" w:type="dxa"/>
        <w:tblW w:w="0" w:type="auto"/>
        <w:tblCellMar>
          <w:bottom w:w="0" w:type="dxa"/>
          <w:left w:w="70" w:type="dxa"/>
          <w:right w:w="70" w:type="dxa"/>
          <w:top w:w="0" w:type="dxa"/>
        </w:tblCellMar>
        <w:tblBorders>
          <w:left w:sz="0" w:space="0" w:val="nil"/>
          <w:right w:sz="0" w:space="0" w:val="nil"/>
          <w:top w:sz="0" w:space="0" w:val="nil"/>
          <w:bottom w:sz="0" w:space="0" w:val="nil"/>
          <w:insideV w:sz="0" w:space="0" w:val="nil"/>
          <w:insideH w:sz="0" w:space="0" w:val="nil"/>
        </w:tblBorders>
      </w:tblPr>
      <w:tblGrid>
        <w:gridCol w:w="4598"/>
        <w:gridCol w:w="4612"/>
      </w:tblGrid>
      <w:tr>
        <w:tc>
          <w:tcPr>
            <w:tcW w:type="dxa" w:w="4598"/>
            <w:tcBorders>
              <w:left w:val="nil"/>
              <w:top w:val="nil"/>
              <w:right w:val="nil"/>
              <w:bottom w:val="nil"/>
            </w:tcBorders>
            <w:shd w:val="nil"/>
            <w:vAlign w:val="top"/>
            <w:textDirection w:val="lrTb"/>
            <w:gridSpan w:val="1"/>
          </w:tcPr>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r>
              <w:rPr>
                <w:rFonts w:ascii="Times New Roman" w:eastAsia="Times New Roman" w:hAnsi="Times New Roman" w:cs="Times New Roman"/>
                <w:sz w:val="17"/>
              </w:rPr>
              <w:t xml:space="preserve">FÉDÉRATION DES ENTREPRISES DU COMMERCE ET DE LA DISTRIBUTION</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r>
              <w:rPr>
                <w:rFonts w:ascii="Times New Roman" w:eastAsia="Times New Roman" w:hAnsi="Times New Roman" w:cs="Times New Roman"/>
                <w:sz w:val="17"/>
              </w:rPr>
              <w:t xml:space="preserve">12, rue Euler</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r>
              <w:rPr>
                <w:rFonts w:ascii="Times New Roman" w:eastAsia="Times New Roman" w:hAnsi="Times New Roman" w:cs="Times New Roman"/>
                <w:sz w:val="17"/>
              </w:rPr>
              <w:t xml:space="preserve">75008 PARIS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p>
          <w:p>
            <w:pPr>
              <w:jc w:val="left"/>
              <w:textAlignment w:val="auto"/>
              <w:ind w:left="0" w:right="0" w:start="0" w:end="0"/>
              <w:adjustRightInd w:val="true"/>
              <w:spacing w:before="100" w:after="0" w:beforeAutospacing="1" w:line="120"/>
              <w:rPr>
                <w:rFonts w:ascii="Times New Roman" w:eastAsia="Times New Roman" w:hAnsi="Times New Roman" w:cs="Times New Roman"/>
                <w:sz w:val="17"/>
              </w:rPr>
            </w:pPr>
            <w:r>
              <w:rPr>
                <w:rFonts w:ascii="Times New Roman" w:eastAsia="Times New Roman" w:hAnsi="Times New Roman" w:cs="Times New Roman"/>
                <w:sz w:val="17"/>
              </w:rPr>
              <w:t xml:space="preserve">LE SYNDICAT NATIONAL DES </w:t>
            </w:r>
          </w:p>
          <w:p>
            <w:pPr>
              <w:jc w:val="left"/>
              <w:textAlignment w:val="auto"/>
              <w:ind w:left="0" w:right="0" w:start="0" w:end="0"/>
              <w:adjustRightInd w:val="true"/>
              <w:spacing w:before="100" w:after="0" w:beforeAutospacing="1" w:line="120"/>
              <w:rPr>
                <w:rFonts w:ascii="Times New Roman" w:eastAsia="Times New Roman" w:hAnsi="Times New Roman" w:cs="Times New Roman"/>
                <w:sz w:val="17"/>
              </w:rPr>
            </w:pPr>
            <w:r>
              <w:rPr>
                <w:rFonts w:ascii="Times New Roman" w:eastAsia="Times New Roman" w:hAnsi="Times New Roman" w:cs="Times New Roman"/>
                <w:sz w:val="17"/>
              </w:rPr>
              <w:t xml:space="preserve">NÉGOCIANTS SPÉCIALISÉS EN PRODUITS </w:t>
            </w:r>
          </w:p>
          <w:p>
            <w:pPr>
              <w:jc w:val="left"/>
              <w:textAlignment w:val="auto"/>
              <w:ind w:left="0" w:right="0" w:start="0" w:end="0"/>
              <w:adjustRightInd w:val="true"/>
              <w:spacing w:before="100" w:after="0" w:beforeAutospacing="1" w:line="120"/>
              <w:rPr>
                <w:rFonts w:ascii="Times New Roman" w:eastAsia="Times New Roman" w:hAnsi="Times New Roman" w:cs="Times New Roman"/>
                <w:sz w:val="17"/>
              </w:rPr>
            </w:pPr>
            <w:r>
              <w:rPr>
                <w:rFonts w:ascii="Times New Roman" w:eastAsia="Times New Roman" w:hAnsi="Times New Roman" w:cs="Times New Roman"/>
                <w:sz w:val="17"/>
              </w:rPr>
              <w:t xml:space="preserve">ALIMENTAIRES</w:t>
            </w:r>
          </w:p>
          <w:p>
            <w:pPr>
              <w:jc w:val="left"/>
              <w:textAlignment w:val="auto"/>
              <w:ind w:left="0" w:right="0" w:start="0" w:end="0"/>
              <w:adjustRightInd w:val="true"/>
              <w:spacing w:before="100" w:after="0" w:beforeAutospacing="1" w:line="120"/>
              <w:rPr>
                <w:rFonts w:ascii="Times New Roman" w:eastAsia="Times New Roman" w:hAnsi="Times New Roman" w:cs="Times New Roman"/>
                <w:sz w:val="17"/>
              </w:rPr>
            </w:pPr>
            <w:r>
              <w:rPr>
                <w:rFonts w:ascii="Times New Roman" w:eastAsia="Times New Roman" w:hAnsi="Times New Roman" w:cs="Times New Roman"/>
                <w:sz w:val="17"/>
              </w:rPr>
              <w:t xml:space="preserve">115, rue Louis Armand</w:t>
            </w:r>
          </w:p>
          <w:p>
            <w:pPr>
              <w:jc w:val="left"/>
              <w:textAlignment w:val="auto"/>
              <w:ind w:left="0" w:right="0" w:start="0" w:end="0"/>
              <w:adjustRightInd w:val="true"/>
              <w:spacing w:before="100" w:after="0" w:beforeAutospacing="1" w:line="120"/>
              <w:rPr>
                <w:rFonts w:ascii="Times New Roman" w:eastAsia="Times New Roman" w:hAnsi="Times New Roman" w:cs="Times New Roman"/>
                <w:sz w:val="17"/>
              </w:rPr>
            </w:pPr>
            <w:r>
              <w:rPr>
                <w:rFonts w:ascii="Times New Roman" w:eastAsia="Times New Roman" w:hAnsi="Times New Roman" w:cs="Times New Roman"/>
                <w:sz w:val="17"/>
              </w:rPr>
              <w:t xml:space="preserve">13852 AIX-EN-PROVENCE CEDEX 3</w:t>
            </w:r>
          </w:p>
          <w:p>
            <w:pPr>
              <w:jc w:val="left"/>
              <w:textAlignment w:val="auto"/>
              <w:ind w:left="0" w:right="0" w:start="0" w:end="0"/>
              <w:adjustRightInd w:val="true"/>
              <w:spacing w:before="100" w:after="100" w:beforeAutospacing="1" w:afterAutospacing="1" w:line="240"/>
              <w:rPr>
                <w:rFonts w:ascii="Times New Roman" w:eastAsia="Times New Roman" w:hAnsi="Times New Roman" w:cs="Times New Roman"/>
                <w:sz w:val="17"/>
              </w:rPr>
            </w:pPr>
          </w:p>
          <w:p>
            <w:pPr>
              <w:jc w:val="left"/>
              <w:textAlignment w:val="auto"/>
              <w:ind w:left="0" w:right="0" w:start="0" w:end="0"/>
              <w:adjustRightInd w:val="true"/>
              <w:spacing w:before="100" w:after="100" w:beforeAutospacing="1" w:afterAutospacing="1" w:line="240"/>
              <w:rPr>
                <w:rFonts w:ascii="Times New Roman" w:eastAsia="Times New Roman" w:hAnsi="Times New Roman" w:cs="Times New Roman"/>
                <w:sz w:val="17"/>
              </w:rPr>
            </w:pPr>
          </w:p>
          <w:p>
            <w:pPr>
              <w:jc w:val="left"/>
              <w:textAlignment w:val="auto"/>
              <w:ind w:left="0" w:right="0" w:start="0" w:end="0"/>
              <w:adjustRightInd w:val="true"/>
              <w:spacing w:before="100" w:after="100" w:beforeAutospacing="1" w:afterAutospacing="1" w:line="240"/>
              <w:rPr>
                <w:rFonts w:ascii="Times New Roman" w:eastAsia="Times New Roman" w:hAnsi="Times New Roman" w:cs="Times New Roman"/>
                <w:sz w:val="17"/>
              </w:rPr>
            </w:pPr>
            <w:r>
              <w:rPr>
                <w:rFonts w:ascii="Times New Roman" w:eastAsia="Times New Roman" w:hAnsi="Times New Roman" w:cs="Times New Roman"/>
                <w:sz w:val="17"/>
              </w:rPr>
              <w:t xml:space="preserve">Pour la FCD et par délégation pour le Syndicat ci-dessus :</w:t>
            </w:r>
          </w:p>
          <w:p>
            <w:pPr>
              <w:jc w:val="left"/>
              <w:textAlignment w:val="auto"/>
              <w:ind w:left="0" w:right="0" w:start="0" w:end="0"/>
              <w:adjustRightInd w:val="true"/>
              <w:spacing w:before="100" w:after="100" w:beforeAutospacing="1" w:afterAutospacing="1" w:line="240"/>
              <w:rPr>
                <w:rFonts w:ascii="Times New Roman" w:eastAsia="Times New Roman" w:hAnsi="Times New Roman" w:cs="Times New Roman"/>
                <w:sz w:val="17"/>
              </w:rPr>
            </w:pPr>
          </w:p>
          <w:p>
            <w:pPr>
              <w:jc w:val="left"/>
              <w:textAlignment w:val="auto"/>
              <w:ind w:left="0" w:right="0" w:start="0" w:end="0"/>
              <w:adjustRightInd w:val="true"/>
              <w:spacing w:before="100" w:after="100" w:beforeAutospacing="1" w:afterAutospacing="1" w:line="240"/>
              <w:rPr>
                <w:rFonts w:ascii="Times New Roman" w:eastAsia="Times New Roman" w:hAnsi="Times New Roman" w:cs="Times New Roman"/>
                <w:sz w:val="17"/>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r>
              <w:rPr>
                <w:rFonts w:ascii="Times New Roman" w:eastAsia="Times New Roman" w:hAnsi="Times New Roman" w:cs="Times New Roman"/>
                <w:sz w:val="17"/>
              </w:rPr>
              <w:t xml:space="preserve">Jérôme Bédier</w:t>
            </w:r>
          </w:p>
        </w:tc>
        <w:tc>
          <w:tcPr>
            <w:tcW w:type="dxa" w:w="4612"/>
            <w:tcBorders>
              <w:left w:val="nil"/>
              <w:top w:val="nil"/>
              <w:right w:val="nil"/>
              <w:bottom w:val="nil"/>
            </w:tcBorders>
            <w:shd w:val="nil"/>
            <w:vAlign w:val="top"/>
            <w:textDirection w:val="lrTb"/>
            <w:gridSpan w:val="1"/>
          </w:tcPr>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FÉDÉRATION GÉNÉRALE DES TRAVAILLEURS DE L'ALIMENTATION, DES TABACS ET ALLUMETTES &amp; DES SECTEURS CONNEXES FO</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7, passage Tenaille</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75014 PARIS </w:t>
            </w:r>
          </w:p>
          <w:p>
            <w:pPr>
              <w:jc w:val="left"/>
              <w:textAlignment w:val="auto"/>
              <w:ind w:left="-69" w:right="0" w:start="-69" w:end="0"/>
              <w:adjustRightInd w:val="true"/>
              <w:spacing w:after="0" w:line="240"/>
              <w:rPr>
                <w:rFonts w:ascii="Times New Roman" w:eastAsia="Times New Roman" w:hAnsi="Times New Roman" w:cs="Times New Roman"/>
                <w:sz w:val="17"/>
              </w:rPr>
            </w:pPr>
          </w:p>
          <w:p>
            <w:pPr>
              <w:jc w:val="left"/>
              <w:textAlignment w:val="auto"/>
              <w:ind w:left="-69" w:right="0" w:start="-69" w:end="0"/>
              <w:adjustRightInd w:val="true"/>
              <w:spacing w:after="0" w:line="240"/>
              <w:rPr>
                <w:rFonts w:ascii="Times New Roman" w:eastAsia="Times New Roman" w:hAnsi="Times New Roman" w:cs="Times New Roman"/>
                <w:sz w:val="17"/>
              </w:rPr>
            </w:pP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FÉDÉRATION CFTC “COMMERCE,</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SERVICES ET FORCE DE VENTE”</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197, rue du Faubourg Saint-Martin</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75010 PARIS</w:t>
            </w:r>
          </w:p>
          <w:p>
            <w:pPr>
              <w:jc w:val="left"/>
              <w:textAlignment w:val="auto"/>
              <w:ind w:left="-69" w:right="0" w:start="-69" w:end="0"/>
              <w:adjustRightInd w:val="true"/>
              <w:spacing w:after="0" w:line="240"/>
              <w:rPr>
                <w:rFonts w:ascii="Times New Roman" w:eastAsia="Times New Roman" w:hAnsi="Times New Roman" w:cs="Times New Roman"/>
                <w:sz w:val="17"/>
              </w:rPr>
            </w:pPr>
          </w:p>
          <w:p>
            <w:pPr>
              <w:jc w:val="left"/>
              <w:textAlignment w:val="auto"/>
              <w:ind w:left="0" w:right="0" w:start="0" w:end="0"/>
              <w:adjustRightInd w:val="true"/>
              <w:spacing w:after="0" w:line="240"/>
              <w:rPr>
                <w:rFonts w:ascii="Times New Roman" w:eastAsia="Times New Roman" w:hAnsi="Times New Roman" w:cs="Times New Roman"/>
                <w:sz w:val="17"/>
              </w:rPr>
            </w:pP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FÉDÉRATION DES SERVICES CFDT</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14, rue Scandicci</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93508 PANTIN</w:t>
            </w:r>
          </w:p>
          <w:p>
            <w:pPr>
              <w:jc w:val="left"/>
              <w:textAlignment w:val="auto"/>
              <w:ind w:left="-69" w:right="0" w:start="-69" w:end="0"/>
              <w:adjustRightInd w:val="true"/>
              <w:spacing w:after="0" w:line="240"/>
              <w:rPr>
                <w:rFonts w:ascii="Times New Roman" w:eastAsia="Times New Roman" w:hAnsi="Times New Roman" w:cs="Times New Roman"/>
                <w:sz w:val="17"/>
              </w:rPr>
            </w:pPr>
          </w:p>
          <w:p>
            <w:pPr>
              <w:jc w:val="left"/>
              <w:textAlignment w:val="auto"/>
              <w:ind w:left="0" w:right="0" w:start="0" w:end="0"/>
              <w:adjustRightInd w:val="true"/>
              <w:spacing w:after="0" w:line="240"/>
              <w:rPr>
                <w:rFonts w:ascii="Times New Roman" w:eastAsia="Times New Roman" w:hAnsi="Times New Roman" w:cs="Times New Roman"/>
                <w:sz w:val="17"/>
              </w:rPr>
            </w:pP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FÉDÉRATION AGRO-ALIMENTAIRE CFE-CGC</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59/63, rue du Rocher</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75008 PARIS</w:t>
            </w:r>
          </w:p>
          <w:p>
            <w:pPr>
              <w:jc w:val="left"/>
              <w:textAlignment w:val="auto"/>
              <w:ind w:left="-69" w:right="0" w:start="-69" w:end="0"/>
              <w:adjustRightInd w:val="true"/>
              <w:spacing w:after="0" w:line="240"/>
              <w:rPr>
                <w:rFonts w:ascii="Times New Roman" w:eastAsia="Times New Roman" w:hAnsi="Times New Roman" w:cs="Times New Roman"/>
                <w:sz w:val="17"/>
              </w:rPr>
            </w:pPr>
          </w:p>
          <w:p>
            <w:pPr>
              <w:jc w:val="left"/>
              <w:textAlignment w:val="auto"/>
              <w:ind w:left="0" w:right="0" w:start="0" w:end="0"/>
              <w:adjustRightInd w:val="true"/>
              <w:spacing w:after="0" w:line="240"/>
              <w:rPr>
                <w:rFonts w:ascii="Times New Roman" w:eastAsia="Times New Roman" w:hAnsi="Times New Roman" w:cs="Times New Roman"/>
                <w:sz w:val="17"/>
              </w:rPr>
            </w:pP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FÉDÉRATION DES PERSONNELS DU COMMERCE, DE LA DISTRIBUTION ET DES SERVICES CGT</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263, rue de Paris </w:t>
            </w:r>
          </w:p>
          <w:p>
            <w:pPr>
              <w:jc w:val="left"/>
              <w:textAlignment w:val="auto"/>
              <w:ind w:left="-69" w:right="0" w:start="-69" w:end="0"/>
              <w:adjustRightInd w:val="true"/>
              <w:spacing w:after="0" w:line="240"/>
              <w:rPr>
                <w:rFonts w:ascii="Times New Roman" w:eastAsia="Times New Roman" w:hAnsi="Times New Roman" w:cs="Times New Roman"/>
                <w:sz w:val="17"/>
              </w:rPr>
            </w:pPr>
            <w:r>
              <w:rPr>
                <w:rFonts w:ascii="Times New Roman" w:eastAsia="Times New Roman" w:hAnsi="Times New Roman" w:cs="Times New Roman"/>
                <w:sz w:val="17"/>
              </w:rPr>
              <w:t xml:space="preserve">93514 MONTREUIL CEDEX</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7"/>
              </w:rPr>
            </w:pPr>
          </w:p>
        </w:tc>
      </w:tr>
    </w:tbl>
    <w:p>
      <w:pPr>
        <w:jc w:val="both"/>
        <w:textAlignment w:val="auto"/>
        <w:ind w:left="0" w:right="0" w:start="0" w:end="0"/>
        <w:adjustRightInd w:val="true"/>
        <w:spacing w:after="0" w:line="240"/>
        <w:rPr>
          <w:rFonts w:ascii="Times New Roman" w:eastAsia="Times New Roman" w:hAnsi="Times New Roman" w:cs="Times New Roman"/>
          <w:sz w:val="24"/>
        </w:rPr>
      </w:pPr>
    </w:p>
    <w:p>
      <w:pPr>
        <w:jc w:val="left"/>
        <w:textAlignment w:val="auto"/>
        <w:ind w:left="0" w:right="0" w:start="0" w:end="0"/>
        <w:adjustRightInd w:val="true"/>
        <w:spacing w:after="0" w:line="240"/>
        <w:rPr>
          <w:rFonts w:ascii="Times New Roman" w:eastAsia="Times New Roman" w:hAnsi="Times New Roman" w:cs="Times New Roman"/>
          <w:sz w:val="24"/>
        </w:rPr>
      </w:pPr>
    </w:p>
    <w:sectPr>
      <w:rtlGutter/>
      <w:cols w:num="1" w:space="708" w:equalWidth="true"/>
      <w:footnotePr>
        <w:pos w:val="pageBottom"/>
      </w:footnotePr>
      <w:lnNumType w:distance="0"/>
      <w:pgSz w:w="11906" w:h="16838"/>
      <w:pgMar w:left="1418" w:right="1418" w:top="1985" w:bottom="1588" w:gutter="0" w:header="720" w:footer="720"/>
      <w:titlePg/>
      <w:footerReference w:type="default" r:id="rId6"/>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separator/>
      </w:r>
    </w:p>
  </w:endnote>
  <w:endnote w:type="continuationSeparator" w:id="1">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Courier New">
    <w:panose1 w:val="02070309020205020404"/>
    <w:family w:val="modern"/>
    <w:charset w:val="00"/>
    <w:pitch w:val="fixed"/>
  </w:font>
  <w:font w:name="Symbol">
    <w:panose1 w:val="05050102010706020507"/>
    <w:family w:val="roman"/>
    <w:charset w:val="02"/>
    <w:pitch w:val="variable"/>
  </w:font>
  <w:font w:name="Wingdings">
    <w:panose1 w:val="05000000000000000000"/>
    <w:family w:val="auto"/>
    <w:charset w:val="02"/>
    <w:pitch w:val="variable"/>
  </w:font>
  <w:font w:name="Tahoma">
    <w:panose1 w:val="020b0604030504040204"/>
    <w:family w:val="swiss"/>
    <w:charset w:val="00"/>
    <w:pitch w:val="variable"/>
  </w:font>
  <w:font w:name="Wingdings 3">
    <w:panose1 w:val="05040102010807070707"/>
    <w:family w:val="roman"/>
    <w:charset w:val="02"/>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Times New Roman (Vietnamese)">
    <w:family w:val="roman"/>
    <w:charset w:val="A3"/>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Arial (Vietnamese)">
    <w:family w:val="swiss"/>
    <w:charset w:val="A3"/>
    <w:pitch w:val="variable"/>
  </w:font>
  <w:font w:name="Courier New CE">
    <w:family w:val="modern"/>
    <w:charset w:val="EE"/>
    <w:pitch w:val="fixed"/>
  </w:font>
  <w:font w:name="Courier New Cyr">
    <w:family w:val="modern"/>
    <w:charset w:val="CC"/>
    <w:pitch w:val="fixed"/>
  </w:font>
  <w:font w:name="Courier New Greek">
    <w:family w:val="modern"/>
    <w:charset w:val="A1"/>
    <w:pitch w:val="fixed"/>
  </w:font>
  <w:font w:name="Courier New Tur">
    <w:family w:val="modern"/>
    <w:charset w:val="A2"/>
    <w:pitch w:val="fixed"/>
  </w:font>
  <w:font w:name="Courier New (Hebrew)">
    <w:family w:val="modern"/>
    <w:charset w:val="B1"/>
    <w:pitch w:val="fixed"/>
  </w:font>
  <w:font w:name="Courier New (Arabic)">
    <w:family w:val="modern"/>
    <w:charset w:val="B2"/>
    <w:pitch w:val="fixed"/>
  </w:font>
  <w:font w:name="Courier New Baltic">
    <w:family w:val="modern"/>
    <w:charset w:val="BA"/>
    <w:pitch w:val="fixed"/>
  </w:font>
  <w:font w:name="Courier New (Vietnamese)">
    <w:family w:val="modern"/>
    <w:charset w:val="A3"/>
    <w:pitch w:val="fixed"/>
  </w:font>
  <w:font w:name="Tahoma CE">
    <w:family w:val="swiss"/>
    <w:charset w:val="EE"/>
    <w:pitch w:val="variable"/>
  </w:font>
  <w:font w:name="Tahoma Cyr">
    <w:family w:val="swiss"/>
    <w:charset w:val="CC"/>
    <w:pitch w:val="variable"/>
  </w:font>
  <w:font w:name="Tahoma Greek">
    <w:family w:val="swiss"/>
    <w:charset w:val="A1"/>
    <w:pitch w:val="variable"/>
  </w:font>
  <w:font w:name="Tahoma Tur">
    <w:family w:val="swiss"/>
    <w:charset w:val="A2"/>
    <w:pitch w:val="variable"/>
  </w:font>
  <w:font w:name="Tahoma (Hebrew)">
    <w:family w:val="swiss"/>
    <w:charset w:val="B1"/>
    <w:pitch w:val="variable"/>
  </w:font>
  <w:font w:name="Tahoma (Arabic)">
    <w:family w:val="swiss"/>
    <w:charset w:val="B2"/>
    <w:pitch w:val="variable"/>
  </w:font>
  <w:font w:name="Tahoma Baltic">
    <w:family w:val="swiss"/>
    <w:charset w:val="BA"/>
    <w:pitch w:val="variable"/>
  </w:font>
  <w:font w:name="Tahoma (Vietnamese)">
    <w:family w:val="swiss"/>
    <w:charset w:val="A3"/>
    <w:pitch w:val="variable"/>
  </w:font>
  <w:font w:name="Tahoma (Thai)">
    <w:family w:val="swiss"/>
    <w:charset w:val="DE"/>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textAlignment w:val="auto"/>
      <w:ind w:left="0" w:right="0" w:start="0" w:end="0"/>
      <w:adjustRightInd w:val="true"/>
      <w:spacing w:after="0" w:line="240"/>
      <w:framePr w:hAnchor="margin" w:xAlign="right" w:vAnchor="text" w:y="0"/>
      <w:tabs>
        <w:tab w:val="center" w:pos="4536"/>
        <w:tab w:val="right" w:pos="9072"/>
      </w:tabs>
      <w:rPr>
        <w:rFonts w:ascii="Times New Roman" w:eastAsia="Times New Roman" w:hAnsi="Times New Roman" w:cs="Times New Roman"/>
        <w:sz w:val="24"/>
      </w:rPr>
    </w:pPr>
    <w:fldSimple w:instr="PAGE">
      <w:r>
        <w:rPr>
          <w:rFonts w:ascii="Times New Roman" w:eastAsia="Times New Roman" w:hAnsi="Times New Roman" w:cs="Times New Roman"/>
          <w:sz w:val="24"/>
        </w:rPr>
        <w:t xml:space="preserve">2</w:t>
      </w:r>
    </w:fldSimple>
  </w:p>
  <w:p>
    <w:pPr>
      <w:jc w:val="left"/>
      <w:textAlignment w:val="auto"/>
      <w:ind w:left="0" w:right="360" w:start="0" w:end="360"/>
      <w:adjustRightInd w:val="true"/>
      <w:spacing w:after="0" w:line="240"/>
      <w:tabs>
        <w:tab w:val="center" w:pos="4536"/>
        <w:tab w:val="right" w:pos="9072"/>
      </w:tabs>
      <w:rPr>
        <w:rFonts w:ascii="Times New Roman" w:eastAsia="Times New Roman" w:hAnsi="Times New Roman" w:cs="Times New Roman"/>
        <w:sz w:val="24"/>
      </w:rP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separator/>
      </w:r>
    </w:p>
  </w:footnote>
  <w:footnote w:type="continuationSeparator" w:id="1">
    <w:p>
      <w:pPr>
        <w:jc w:val="left"/>
        <w:textAlignment w:val="auto"/>
        <w:ind w:left="0" w:right="0" w:start="0" w:end="0"/>
        <w:adjustRightInd w:val="true"/>
        <w:spacing w:after="0" w:line="240"/>
        <w:rPr>
          <w:rFonts w:ascii="Times New Roman" w:eastAsia="Times New Roman" w:hAnsi="Times New Roman" w:cs="Times New Roman"/>
          <w:sz w:val="24"/>
        </w:rPr>
      </w:pPr>
      <w:r>
        <w:rPr>
          <w:rFonts w:ascii="Times New Roman" w:eastAsia="Times New Roman" w:hAnsi="Times New Roman" w:cs="Times New Roman"/>
          <w:sz w:val="24"/>
        </w:rPr>
        <w:continuationSeparator/>
      </w:r>
    </w:p>
  </w:footnote>
  <w:footnote w:id="2">
    <w:p>
      <w:pPr>
        <w:jc w:val="left"/>
        <w:textAlignment w:val="auto"/>
        <w:ind w:left="0" w:right="0" w:start="0" w:end="0"/>
        <w:adjustRightInd w:val="true"/>
        <w:spacing w:after="0" w:line="240"/>
        <w:rPr>
          <w:rFonts w:ascii="Times New Roman" w:eastAsia="Times New Roman" w:hAnsi="Times New Roman" w:cs="Times New Roman"/>
          <w:sz w:val="20"/>
        </w:rPr>
      </w:pPr>
      <w:r>
        <w:rPr>
          <w:rFonts w:ascii="Times New Roman" w:eastAsia="Times New Roman" w:hAnsi="Times New Roman" w:cs="Times New Roman"/>
          <w:sz w:val="20"/>
          <w:vertAlign w:val="superscript"/>
        </w:rPr>
        <w:footnoteRef/>
      </w:r>
      <w:r>
        <w:rPr>
          <w:rFonts w:ascii="Times New Roman" w:eastAsia="Times New Roman" w:hAnsi="Times New Roman" w:cs="Times New Roman"/>
          <w:sz w:val="20"/>
        </w:rPr>
        <w:t xml:space="preserve"> La société de gestion CREDIT LYONNAIS ASSET MANAGEMENT a été absorbée le 1</w:t>
      </w:r>
      <w:r>
        <w:rPr>
          <w:rFonts w:ascii="Times New Roman" w:eastAsia="Times New Roman" w:hAnsi="Times New Roman" w:cs="Times New Roman"/>
          <w:sz w:val="20"/>
          <w:vertAlign w:val="superscript"/>
        </w:rPr>
        <w:t xml:space="preserve">er</w:t>
      </w:r>
      <w:r>
        <w:rPr>
          <w:rFonts w:ascii="Times New Roman" w:eastAsia="Times New Roman" w:hAnsi="Times New Roman" w:cs="Times New Roman"/>
          <w:sz w:val="20"/>
        </w:rPr>
        <w:t xml:space="preserve"> juillet 2004 par une nouvelle société de gestion CREDIT AGRICOLE ASSET MANAGEMENT (CAAM).</w:t>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19">
    <w:multiLevelType w:val="singleLevel"/>
    <w:tmpl w:val="ea766ef6"/>
    <w:lvl w:ilvl="0">
      <w:lvlJc w:val="left"/>
      <w:lvlText w:val=""/>
      <w:numFmt w:val="bullet"/>
      <w:start w:val="1"/>
      <w:suff w:val="tab"/>
      <w:pPr>
        <w:ind w:hanging="360" w:left="360" w:start="360"/>
      </w:pPr>
      <w:rPr>
        <w:rFonts w:ascii="Symbol" w:eastAsia="Symbol" w:hAnsi="Symbol" w:cs="Symbol"/>
        <w:sz w:val="24"/>
      </w:rPr>
    </w:lvl>
  </w:abstractNum>
  <w:abstractNum w:abstractNumId="96874097">
    <w:multiLevelType w:val="singleLevel"/>
    <w:tmpl w:val="8e72343a"/>
    <w:lvl w:ilvl="0">
      <w:lvlJc w:val="left"/>
      <w:lvlText w:val="-"/>
      <w:numFmt w:val="bullet"/>
      <w:start w:val="6"/>
      <w:suff w:val="tab"/>
      <w:pPr>
        <w:ind w:hanging="360" w:left="1068" w:start="1068"/>
      </w:pPr>
      <w:rPr>
        <w:rFonts w:ascii="Times New Roman" w:eastAsia="Times New Roman" w:hAnsi="Times New Roman" w:cs="Times New Roman"/>
        <w:sz w:val="24"/>
      </w:rPr>
    </w:lvl>
  </w:abstractNum>
  <w:abstractNum w:abstractNumId="103042177">
    <w:multiLevelType w:val="hybridMultilevel"/>
    <w:tmpl w:val="138c2842"/>
    <w:lvl w:ilvl="0">
      <w:lvlJc w:val="left"/>
      <w:lvlText w:val="-"/>
      <w:numFmt w:val="bullet"/>
      <w:start w:val="3"/>
      <w:suff w:val="tab"/>
      <w:pPr>
        <w:ind w:hanging="360" w:left="720" w:start="720"/>
      </w:pPr>
      <w:rPr>
        <w:rFonts w:ascii="Times New Roman" w:eastAsia="Times New Roman" w:hAnsi="Times New Roman" w:cs="Times New Roman"/>
        <w:sz w:val="24"/>
      </w:rPr>
    </w:lvl>
    <w:lvl w:ilvl="1">
      <w:lvlJc w:val="left"/>
      <w:lvlText w:val="%2."/>
      <w:numFmt w:val="decimal"/>
      <w:start w:val="1"/>
      <w:suff w:val="tab"/>
      <w:pPr>
        <w:ind w:hanging="360" w:left="1440" w:start="1440"/>
      </w:pPr>
      <w:rPr>
        <w:rFonts w:ascii="Times New Roman" w:eastAsia="Times New Roman" w:hAnsi="Times New Roman" w:cs="Times New Roman"/>
        <w:sz w:val="24"/>
      </w:rPr>
    </w:lvl>
    <w:lvl w:ilvl="2">
      <w:lvlJc w:val="left"/>
      <w:lvlText w:val="%3."/>
      <w:numFmt w:val="decimal"/>
      <w:start w:val="1"/>
      <w:suff w:val="tab"/>
      <w:pPr>
        <w:ind w:hanging="360" w:left="2160" w:start="2160"/>
      </w:pPr>
      <w:rPr>
        <w:rFonts w:ascii="Times New Roman" w:eastAsia="Times New Roman" w:hAnsi="Times New Roman" w:cs="Times New Roman"/>
        <w:sz w:val="24"/>
      </w:rPr>
    </w:lvl>
    <w:lvl w:ilvl="3">
      <w:lvlJc w:val="left"/>
      <w:lvlText w:val="%4."/>
      <w:numFmt w:val="decimal"/>
      <w:start w:val="1"/>
      <w:suff w:val="tab"/>
      <w:pPr>
        <w:ind w:hanging="360" w:left="2880" w:start="2880"/>
      </w:pPr>
      <w:rPr>
        <w:rFonts w:ascii="Times New Roman" w:eastAsia="Times New Roman" w:hAnsi="Times New Roman" w:cs="Times New Roman"/>
        <w:sz w:val="24"/>
      </w:rPr>
    </w:lvl>
    <w:lvl w:ilvl="4">
      <w:lvlJc w:val="left"/>
      <w:lvlText w:val="%5."/>
      <w:numFmt w:val="decimal"/>
      <w:start w:val="1"/>
      <w:suff w:val="tab"/>
      <w:pPr>
        <w:ind w:hanging="360" w:left="3600" w:start="3600"/>
      </w:pPr>
      <w:rPr>
        <w:rFonts w:ascii="Times New Roman" w:eastAsia="Times New Roman" w:hAnsi="Times New Roman" w:cs="Times New Roman"/>
        <w:sz w:val="24"/>
      </w:rPr>
    </w:lvl>
    <w:lvl w:ilvl="5">
      <w:lvlJc w:val="left"/>
      <w:lvlText w:val="%6."/>
      <w:numFmt w:val="decimal"/>
      <w:start w:val="1"/>
      <w:suff w:val="tab"/>
      <w:pPr>
        <w:ind w:hanging="360" w:left="4320" w:start="4320"/>
      </w:pPr>
      <w:rPr>
        <w:rFonts w:ascii="Times New Roman" w:eastAsia="Times New Roman" w:hAnsi="Times New Roman" w:cs="Times New Roman"/>
        <w:sz w:val="24"/>
      </w:rPr>
    </w:lvl>
    <w:lvl w:ilvl="6">
      <w:lvlJc w:val="left"/>
      <w:lvlText w:val="%7."/>
      <w:numFmt w:val="decimal"/>
      <w:start w:val="1"/>
      <w:suff w:val="tab"/>
      <w:pPr>
        <w:ind w:hanging="360" w:left="5040" w:start="5040"/>
      </w:pPr>
      <w:rPr>
        <w:rFonts w:ascii="Times New Roman" w:eastAsia="Times New Roman" w:hAnsi="Times New Roman" w:cs="Times New Roman"/>
        <w:sz w:val="24"/>
      </w:rPr>
    </w:lvl>
    <w:lvl w:ilvl="7">
      <w:lvlJc w:val="left"/>
      <w:lvlText w:val="%8."/>
      <w:numFmt w:val="decimal"/>
      <w:start w:val="1"/>
      <w:suff w:val="tab"/>
      <w:pPr>
        <w:ind w:hanging="360" w:left="5760" w:start="5760"/>
      </w:pPr>
      <w:rPr>
        <w:rFonts w:ascii="Times New Roman" w:eastAsia="Times New Roman" w:hAnsi="Times New Roman" w:cs="Times New Roman"/>
        <w:sz w:val="24"/>
      </w:rPr>
    </w:lvl>
    <w:lvl w:ilvl="8">
      <w:lvlJc w:val="left"/>
      <w:lvlText w:val="%9."/>
      <w:numFmt w:val="decimal"/>
      <w:start w:val="1"/>
      <w:suff w:val="tab"/>
      <w:pPr>
        <w:ind w:hanging="360" w:left="6480" w:start="6480"/>
      </w:pPr>
      <w:rPr>
        <w:rFonts w:ascii="Times New Roman" w:eastAsia="Times New Roman" w:hAnsi="Times New Roman" w:cs="Times New Roman"/>
        <w:sz w:val="24"/>
      </w:rPr>
    </w:lvl>
  </w:abstractNum>
  <w:abstractNum w:abstractNumId="133065928">
    <w:multiLevelType w:val="singleLevel"/>
    <w:tmpl w:val="40c0017"/>
    <w:lvl w:ilvl="0">
      <w:lvlJc w:val="left"/>
      <w:lvlText w:val="%1)"/>
      <w:numFmt w:val="lowerLetter"/>
      <w:start w:val="1"/>
      <w:suff w:val="tab"/>
      <w:pPr>
        <w:ind w:hanging="360" w:left="360" w:start="360"/>
      </w:pPr>
      <w:rPr>
        <w:rFonts w:ascii="Times New Roman" w:eastAsia="Times New Roman" w:hAnsi="Times New Roman" w:cs="Times New Roman"/>
        <w:sz w:val="24"/>
      </w:rPr>
    </w:lvl>
  </w:abstractNum>
  <w:abstractNum w:abstractNumId="166750978">
    <w:multiLevelType w:val="singleLevel"/>
    <w:tmpl w:val="40c0005"/>
    <w:lvl w:ilvl="0">
      <w:lvlJc w:val="left"/>
      <w:lvlText w:val=""/>
      <w:numFmt w:val="bullet"/>
      <w:start w:val="1"/>
      <w:suff w:val="tab"/>
      <w:pPr>
        <w:ind w:hanging="360" w:left="360" w:start="360"/>
      </w:pPr>
      <w:rPr>
        <w:rFonts w:ascii="Wingdings" w:eastAsia="Wingdings" w:hAnsi="Wingdings" w:cs="Wingdings"/>
        <w:sz w:val="24"/>
      </w:rPr>
    </w:lvl>
  </w:abstractNum>
  <w:abstractNum w:abstractNumId="170266185">
    <w:multiLevelType w:val="singleLevel"/>
    <w:tmpl w:val="40c0005"/>
    <w:lvl w:ilvl="0">
      <w:lvlJc w:val="left"/>
      <w:lvlText w:val=""/>
      <w:numFmt w:val="bullet"/>
      <w:start w:val="1"/>
      <w:suff w:val="tab"/>
      <w:pPr>
        <w:ind w:hanging="360" w:left="360" w:start="360"/>
      </w:pPr>
      <w:rPr>
        <w:rFonts w:ascii="Wingdings" w:eastAsia="Wingdings" w:hAnsi="Wingdings" w:cs="Wingdings"/>
        <w:sz w:val="24"/>
      </w:rPr>
    </w:lvl>
  </w:abstractNum>
  <w:abstractNum w:abstractNumId="291863141">
    <w:multiLevelType w:val="singleLevel"/>
    <w:tmpl w:val="b4de530c"/>
    <w:lvl w:ilvl="0">
      <w:lvlJc w:val="left"/>
      <w:lvlText w:val=""/>
      <w:numFmt w:val="bullet"/>
      <w:start w:val="1"/>
      <w:suff w:val="tab"/>
      <w:pPr>
        <w:ind w:hanging="283" w:left="567" w:start="567"/>
      </w:pPr>
      <w:rPr>
        <w:rFonts w:ascii="Wingdings" w:eastAsia="Wingdings" w:hAnsi="Wingdings" w:cs="Wingdings"/>
        <w:sz w:val="24"/>
        <w:color w:val="0000ff"/>
      </w:rPr>
    </w:lvl>
  </w:abstractNum>
  <w:abstractNum w:abstractNumId="413860979">
    <w:multiLevelType w:val="hybridMultilevel"/>
    <w:tmpl w:val="acdabe3e"/>
    <w:lvl w:ilvl="0">
      <w:lvlJc w:val="left"/>
      <w:lvlText w:val=""/>
      <w:numFmt w:val="bullet"/>
      <w:start w:val="1"/>
      <w:suff w:val="tab"/>
      <w:pPr>
        <w:ind w:hanging="360" w:left="720" w:start="720"/>
      </w:pPr>
      <w:rPr>
        <w:rFonts w:ascii="Wingdings" w:eastAsia="Wingdings" w:hAnsi="Wingdings" w:cs="Wingdings"/>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445391249">
    <w:multiLevelType w:val="hybridMultilevel"/>
    <w:tmpl w:val="88bae144"/>
    <w:lvl w:ilvl="0">
      <w:lvlJc w:val="left"/>
      <w:lvlText w:val="-"/>
      <w:numFmt w:val="bullet"/>
      <w:start w:val="5"/>
      <w:suff w:val="tab"/>
      <w:pPr>
        <w:ind w:hanging="360" w:left="720" w:start="720"/>
      </w:pPr>
      <w:rPr>
        <w:rFonts w:ascii="Times New Roman" w:eastAsia="Times New Roman" w:hAnsi="Times New Roman" w:cs="Times New Roman"/>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805123421">
    <w:multiLevelType w:val="hybridMultilevel"/>
    <w:tmpl w:val="a1a02a08"/>
    <w:lvl w:ilvl="0">
      <w:lvlJc w:val="left"/>
      <w:lvlText w:val="-"/>
      <w:numFmt w:val="bullet"/>
      <w:start w:val="3"/>
      <w:suff w:val="tab"/>
      <w:pPr>
        <w:ind w:hanging="360" w:left="1491" w:start="1491"/>
      </w:pPr>
      <w:rPr>
        <w:rFonts w:ascii="Times New Roman" w:eastAsia="Times New Roman" w:hAnsi="Times New Roman" w:cs="Times New Roman"/>
        <w:sz w:val="24"/>
      </w:rPr>
    </w:lvl>
    <w:lvl w:ilvl="1">
      <w:lvlJc w:val="left"/>
      <w:lvlText w:val="o"/>
      <w:numFmt w:val="bullet"/>
      <w:start w:val="1"/>
      <w:suff w:val="tab"/>
      <w:pPr>
        <w:ind w:hanging="360" w:left="2211" w:start="2211"/>
      </w:pPr>
      <w:rPr>
        <w:rFonts w:ascii="Courier New" w:eastAsia="Courier New" w:hAnsi="Courier New" w:cs="Courier New"/>
        <w:sz w:val="24"/>
      </w:rPr>
    </w:lvl>
    <w:lvl w:ilvl="2">
      <w:lvlJc w:val="left"/>
      <w:lvlText w:val=""/>
      <w:numFmt w:val="bullet"/>
      <w:start w:val="1"/>
      <w:suff w:val="tab"/>
      <w:pPr>
        <w:ind w:hanging="360" w:left="2931" w:start="2931"/>
      </w:pPr>
      <w:rPr>
        <w:rFonts w:ascii="Wingdings" w:eastAsia="Wingdings" w:hAnsi="Wingdings" w:cs="Wingdings"/>
        <w:sz w:val="24"/>
      </w:rPr>
    </w:lvl>
    <w:lvl w:ilvl="3">
      <w:lvlJc w:val="left"/>
      <w:lvlText w:val=""/>
      <w:numFmt w:val="bullet"/>
      <w:start w:val="1"/>
      <w:suff w:val="tab"/>
      <w:pPr>
        <w:ind w:hanging="360" w:left="3651" w:start="3651"/>
      </w:pPr>
      <w:rPr>
        <w:rFonts w:ascii="Symbol" w:eastAsia="Symbol" w:hAnsi="Symbol" w:cs="Symbol"/>
        <w:sz w:val="24"/>
      </w:rPr>
    </w:lvl>
    <w:lvl w:ilvl="4">
      <w:lvlJc w:val="left"/>
      <w:lvlText w:val="o"/>
      <w:numFmt w:val="bullet"/>
      <w:start w:val="1"/>
      <w:suff w:val="tab"/>
      <w:pPr>
        <w:ind w:hanging="360" w:left="4371" w:start="4371"/>
      </w:pPr>
      <w:rPr>
        <w:rFonts w:ascii="Courier New" w:eastAsia="Courier New" w:hAnsi="Courier New" w:cs="Courier New"/>
        <w:sz w:val="24"/>
      </w:rPr>
    </w:lvl>
    <w:lvl w:ilvl="5">
      <w:lvlJc w:val="left"/>
      <w:lvlText w:val=""/>
      <w:numFmt w:val="bullet"/>
      <w:start w:val="1"/>
      <w:suff w:val="tab"/>
      <w:pPr>
        <w:ind w:hanging="360" w:left="5091" w:start="5091"/>
      </w:pPr>
      <w:rPr>
        <w:rFonts w:ascii="Wingdings" w:eastAsia="Wingdings" w:hAnsi="Wingdings" w:cs="Wingdings"/>
        <w:sz w:val="24"/>
      </w:rPr>
    </w:lvl>
    <w:lvl w:ilvl="6">
      <w:lvlJc w:val="left"/>
      <w:lvlText w:val=""/>
      <w:numFmt w:val="bullet"/>
      <w:start w:val="1"/>
      <w:suff w:val="tab"/>
      <w:pPr>
        <w:ind w:hanging="360" w:left="5811" w:start="5811"/>
      </w:pPr>
      <w:rPr>
        <w:rFonts w:ascii="Symbol" w:eastAsia="Symbol" w:hAnsi="Symbol" w:cs="Symbol"/>
        <w:sz w:val="24"/>
      </w:rPr>
    </w:lvl>
    <w:lvl w:ilvl="7">
      <w:lvlJc w:val="left"/>
      <w:lvlText w:val="o"/>
      <w:numFmt w:val="bullet"/>
      <w:start w:val="1"/>
      <w:suff w:val="tab"/>
      <w:pPr>
        <w:ind w:hanging="360" w:left="6531" w:start="6531"/>
      </w:pPr>
      <w:rPr>
        <w:rFonts w:ascii="Courier New" w:eastAsia="Courier New" w:hAnsi="Courier New" w:cs="Courier New"/>
        <w:sz w:val="24"/>
      </w:rPr>
    </w:lvl>
    <w:lvl w:ilvl="8">
      <w:lvlJc w:val="left"/>
      <w:lvlText w:val=""/>
      <w:numFmt w:val="bullet"/>
      <w:start w:val="1"/>
      <w:suff w:val="tab"/>
      <w:pPr>
        <w:ind w:hanging="360" w:left="7251" w:start="7251"/>
      </w:pPr>
      <w:rPr>
        <w:rFonts w:ascii="Wingdings" w:eastAsia="Wingdings" w:hAnsi="Wingdings" w:cs="Wingdings"/>
        <w:sz w:val="24"/>
      </w:rPr>
    </w:lvl>
  </w:abstractNum>
  <w:abstractNum w:abstractNumId="848061113">
    <w:multiLevelType w:val="hybridMultilevel"/>
    <w:tmpl w:val="d3ad0f8"/>
    <w:lvl w:ilvl="0">
      <w:lvlJc w:val="left"/>
      <w:lvlText w:val="-"/>
      <w:numFmt w:val="bullet"/>
      <w:start w:val="0"/>
      <w:suff w:val="tab"/>
      <w:pPr>
        <w:ind w:hanging="360" w:left="720" w:start="720"/>
      </w:pPr>
      <w:rPr>
        <w:rFonts w:ascii="Times New Roman" w:eastAsia="Times New Roman" w:hAnsi="Times New Roman" w:cs="Times New Roman"/>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890726890">
    <w:multiLevelType w:val="hybridMultilevel"/>
    <w:tmpl w:val="b0344664"/>
    <w:lvl w:ilvl="0">
      <w:lvlJc w:val="left"/>
      <w:lvlText w:val="-"/>
      <w:numFmt w:val="bullet"/>
      <w:start w:val="3"/>
      <w:suff w:val="tab"/>
      <w:pPr>
        <w:ind w:hanging="360" w:left="720" w:start="720"/>
      </w:pPr>
      <w:rPr>
        <w:rFonts w:ascii="Times New Roman" w:eastAsia="Times New Roman" w:hAnsi="Times New Roman" w:cs="Times New Roman"/>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1198540642">
    <w:multiLevelType w:val="singleLevel"/>
    <w:tmpl w:val="8e72343a"/>
    <w:lvl w:ilvl="0">
      <w:lvlJc w:val="left"/>
      <w:lvlText w:val="-"/>
      <w:numFmt w:val="bullet"/>
      <w:start w:val="0"/>
      <w:suff w:val="tab"/>
      <w:pPr>
        <w:ind w:hanging="360" w:left="1068" w:start="1068"/>
      </w:pPr>
      <w:rPr>
        <w:rFonts w:ascii="Times New Roman" w:eastAsia="Times New Roman" w:hAnsi="Times New Roman" w:cs="Times New Roman"/>
        <w:sz w:val="24"/>
      </w:rPr>
    </w:lvl>
  </w:abstractNum>
  <w:abstractNum w:abstractNumId="1260218298">
    <w:multiLevelType w:val="singleLevel"/>
    <w:tmpl w:val="40c0005"/>
    <w:lvl w:ilvl="0">
      <w:lvlJc w:val="left"/>
      <w:lvlText w:val=""/>
      <w:numFmt w:val="bullet"/>
      <w:start w:val="1"/>
      <w:suff w:val="tab"/>
      <w:pPr>
        <w:ind w:hanging="360" w:left="360" w:start="360"/>
      </w:pPr>
      <w:rPr>
        <w:rFonts w:ascii="Wingdings" w:eastAsia="Wingdings" w:hAnsi="Wingdings" w:cs="Wingdings"/>
        <w:sz w:val="24"/>
      </w:rPr>
    </w:lvl>
  </w:abstractNum>
  <w:abstractNum w:abstractNumId="1353142840">
    <w:multiLevelType w:val="hybridMultilevel"/>
    <w:tmpl w:val="f85edae6"/>
    <w:lvl w:ilvl="0">
      <w:lvlJc w:val="left"/>
      <w:lvlText w:val=""/>
      <w:numFmt w:val="bullet"/>
      <w:start w:val="1"/>
      <w:suff w:val="tab"/>
      <w:pPr>
        <w:ind w:hanging="360" w:left="720" w:start="720"/>
      </w:pPr>
      <w:rPr>
        <w:rFonts w:ascii="Wingdings" w:eastAsia="Wingdings" w:hAnsi="Wingdings" w:cs="Wingdings"/>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1434322154">
    <w:multiLevelType w:val="singleLevel"/>
    <w:tmpl w:val="40c0005"/>
    <w:lvl w:ilvl="0">
      <w:lvlJc w:val="left"/>
      <w:lvlText w:val=""/>
      <w:numFmt w:val="bullet"/>
      <w:start w:val="1"/>
      <w:suff w:val="tab"/>
      <w:pPr>
        <w:ind w:hanging="360" w:left="360" w:start="360"/>
      </w:pPr>
      <w:rPr>
        <w:rFonts w:ascii="Wingdings" w:eastAsia="Wingdings" w:hAnsi="Wingdings" w:cs="Wingdings"/>
        <w:sz w:val="24"/>
      </w:rPr>
    </w:lvl>
  </w:abstractNum>
  <w:abstractNum w:abstractNumId="1670868590">
    <w:multiLevelType w:val="singleLevel"/>
    <w:tmpl w:val="40c0005"/>
    <w:lvl w:ilvl="0">
      <w:lvlJc w:val="left"/>
      <w:lvlText w:val=""/>
      <w:numFmt w:val="bullet"/>
      <w:start w:val="1"/>
      <w:suff w:val="tab"/>
      <w:pPr>
        <w:ind w:hanging="360" w:left="360" w:start="360"/>
      </w:pPr>
      <w:rPr>
        <w:rFonts w:ascii="Wingdings" w:eastAsia="Wingdings" w:hAnsi="Wingdings" w:cs="Wingdings"/>
        <w:sz w:val="24"/>
      </w:rPr>
    </w:lvl>
  </w:abstractNum>
  <w:abstractNum w:abstractNumId="1704556241">
    <w:multiLevelType w:val="singleLevel"/>
    <w:tmpl w:val="40c0005"/>
    <w:lvl w:ilvl="0">
      <w:lvlJc w:val="left"/>
      <w:lvlText w:val=""/>
      <w:numFmt w:val="bullet"/>
      <w:start w:val="1"/>
      <w:suff w:val="tab"/>
      <w:pPr>
        <w:ind w:hanging="360" w:left="720" w:start="720"/>
      </w:pPr>
      <w:rPr>
        <w:rFonts w:ascii="Wingdings" w:eastAsia="Wingdings" w:hAnsi="Wingdings" w:cs="Wingdings"/>
        <w:sz w:val="24"/>
      </w:rPr>
    </w:lvl>
  </w:abstractNum>
  <w:abstractNum w:abstractNumId="1719622765">
    <w:multiLevelType w:val="hybridMultilevel"/>
    <w:tmpl w:val="3230a1e4"/>
    <w:lvl w:ilvl="0">
      <w:lvlJc w:val="left"/>
      <w:lvlText w:val="-"/>
      <w:numFmt w:val="bullet"/>
      <w:start w:val="0"/>
      <w:suff w:val="tab"/>
      <w:pPr>
        <w:ind w:hanging="360" w:left="720" w:start="720"/>
      </w:pPr>
      <w:rPr>
        <w:rFonts w:ascii="Times New Roman" w:eastAsia="Times New Roman" w:hAnsi="Times New Roman" w:cs="Times New Roman"/>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1761557940">
    <w:multiLevelType w:val="singleLevel"/>
    <w:tmpl w:val="40c0005"/>
    <w:lvl w:ilvl="0">
      <w:lvlJc w:val="left"/>
      <w:lvlText w:val=""/>
      <w:numFmt w:val="bullet"/>
      <w:start w:val="1"/>
      <w:suff w:val="tab"/>
      <w:pPr>
        <w:ind w:hanging="360" w:left="360" w:start="360"/>
      </w:pPr>
      <w:rPr>
        <w:rFonts w:ascii="Wingdings" w:eastAsia="Wingdings" w:hAnsi="Wingdings" w:cs="Wingdings"/>
        <w:sz w:val="24"/>
      </w:rPr>
    </w:lvl>
  </w:abstractNum>
  <w:abstractNum w:abstractNumId="1913618210">
    <w:multiLevelType w:val="hybridMultilevel"/>
    <w:tmpl w:val="2baa6c18"/>
    <w:lvl w:ilvl="0">
      <w:lvlJc w:val="left"/>
      <w:lvlText w:val="-"/>
      <w:numFmt w:val="bullet"/>
      <w:start w:val="0"/>
      <w:suff w:val="tab"/>
      <w:pPr>
        <w:ind w:hanging="360" w:left="720" w:start="720"/>
      </w:pPr>
      <w:rPr>
        <w:rFonts w:ascii="Times New Roman" w:eastAsia="Times New Roman" w:hAnsi="Times New Roman" w:cs="Times New Roman"/>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1927884593">
    <w:multiLevelType w:val="singleLevel"/>
    <w:tmpl w:val="40c0015"/>
    <w:lvl w:ilvl="0">
      <w:lvlJc w:val="left"/>
      <w:lvlText w:val="%1."/>
      <w:numFmt w:val="upperLetter"/>
      <w:start w:val="1"/>
      <w:suff w:val="tab"/>
      <w:pPr>
        <w:ind w:hanging="360" w:left="360" w:start="360"/>
      </w:pPr>
      <w:rPr>
        <w:rFonts w:ascii="Times New Roman" w:eastAsia="Times New Roman" w:hAnsi="Times New Roman" w:cs="Times New Roman"/>
        <w:sz w:val="24"/>
      </w:rPr>
    </w:lvl>
  </w:abstractNum>
  <w:abstractNum w:abstractNumId="1980332399">
    <w:multiLevelType w:val="hybridMultilevel"/>
    <w:tmpl w:val="70922c22"/>
    <w:lvl w:ilvl="0">
      <w:lvlJc w:val="left"/>
      <w:lvlText w:val="-"/>
      <w:numFmt w:val="bullet"/>
      <w:start w:val="5"/>
      <w:suff w:val="tab"/>
      <w:pPr>
        <w:ind w:hanging="360" w:left="720" w:start="720"/>
      </w:pPr>
      <w:rPr>
        <w:rFonts w:ascii="Times New Roman" w:eastAsia="Times New Roman" w:hAnsi="Times New Roman" w:cs="Times New Roman"/>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2023894874">
    <w:multiLevelType w:val="singleLevel"/>
    <w:tmpl w:val="8e72343a"/>
    <w:lvl w:ilvl="0">
      <w:lvlJc w:val="left"/>
      <w:lvlText w:val="-"/>
      <w:numFmt w:val="bullet"/>
      <w:start w:val="0"/>
      <w:suff w:val="tab"/>
      <w:pPr>
        <w:ind w:hanging="360" w:left="1068" w:start="1068"/>
      </w:pPr>
      <w:rPr>
        <w:rFonts w:ascii="Times New Roman" w:eastAsia="Times New Roman" w:hAnsi="Times New Roman" w:cs="Times New Roman"/>
        <w:sz w:val="24"/>
      </w:rPr>
    </w:lvl>
  </w:abstractNum>
  <w:abstractNum w:abstractNumId="2042827616">
    <w:multiLevelType w:val="singleLevel"/>
    <w:tmpl w:val="21923976"/>
    <w:lvl w:ilvl="0">
      <w:lvlJc w:val="left"/>
      <w:lvlText w:val="-"/>
      <w:numFmt w:val="bullet"/>
      <w:start w:val="2"/>
      <w:suff w:val="tab"/>
      <w:pPr>
        <w:ind w:hanging="360" w:left="360" w:start="360"/>
      </w:pPr>
      <w:rPr>
        <w:rFonts w:ascii="Times New Roman" w:eastAsia="Times New Roman" w:hAnsi="Times New Roman" w:cs="Times New Roman"/>
        <w:sz w:val="24"/>
      </w:rPr>
    </w:lvl>
  </w:abstractNum>
  <w:num w:numId="1">
    <w:abstractNumId w:val="-119"/>
  </w:num>
  <w:num w:numId="2">
    <w:abstractNumId w:val="-119"/>
  </w:num>
  <w:num w:numId="3">
    <w:abstractNumId w:val="-119"/>
  </w:num>
  <w:num w:numId="4">
    <w:abstractNumId w:val="-119"/>
  </w:num>
  <w:num w:numId="5">
    <w:abstractNumId w:val="-119"/>
  </w:num>
  <w:num w:numId="6">
    <w:abstractNumId w:val="-119"/>
  </w:num>
  <w:num w:numId="7">
    <w:abstractNumId w:val="1980332399"/>
  </w:num>
  <w:num w:numId="8">
    <w:abstractNumId w:val="1719622765"/>
  </w:num>
  <w:num w:numId="9">
    <w:abstractNumId w:val="-119"/>
  </w:num>
  <w:num w:numId="10">
    <w:abstractNumId w:val="103042177"/>
  </w:num>
  <w:num w:numId="11">
    <w:abstractNumId w:val="103042177"/>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 w:numId="12">
    <w:abstractNumId w:val="805123421"/>
  </w:num>
  <w:num w:numId="13">
    <w:abstractNumId w:val="445391249"/>
  </w:num>
  <w:num w:numId="14">
    <w:abstractNumId w:val="1704556241"/>
  </w:num>
  <w:num w:numId="15">
    <w:abstractNumId w:val="166750978"/>
  </w:num>
  <w:num w:numId="16">
    <w:abstractNumId w:val="96874097"/>
  </w:num>
  <w:num w:numId="17">
    <w:abstractNumId w:val="291863141"/>
  </w:num>
  <w:num w:numId="18">
    <w:abstractNumId w:val="170266185"/>
  </w:num>
  <w:num w:numId="19">
    <w:abstractNumId w:val="1260218298"/>
  </w:num>
  <w:num w:numId="20">
    <w:abstractNumId w:val="1761557940"/>
  </w:num>
  <w:num w:numId="21">
    <w:abstractNumId w:val="133065928"/>
  </w:num>
  <w:num w:numId="22">
    <w:abstractNumId w:val="1927884593"/>
  </w:num>
  <w:num w:numId="23">
    <w:abstractNumId w:val="2042827616"/>
  </w:num>
  <w:num w:numId="24">
    <w:abstractNumId w:val="1670868590"/>
  </w:num>
  <w:num w:numId="25">
    <w:abstractNumId w:val="1198540642"/>
  </w:num>
  <w:num w:numId="26">
    <w:abstractNumId w:val="2023894874"/>
  </w:num>
  <w:num w:numId="27">
    <w:abstractNumId w:val="1434322154"/>
  </w:num>
  <w:num w:numId="28">
    <w:abstractNumId w:val="413860979"/>
  </w:num>
  <w:num w:numId="29">
    <w:abstractNumId w:val="1353142840"/>
  </w:num>
  <w:num w:numId="30">
    <w:abstractNumId w:val="890726890"/>
  </w:num>
  <w:num w:numId="31">
    <w:abstractNumId w:val="1913618210"/>
  </w:num>
  <w:num w:numId="32">
    <w:abstractNumId w:val="848061113"/>
  </w:num>
</w:numbering>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hyphenationZone xmlns:w="http://schemas.openxmlformats.org/wordprocessingml/2006/main" w:val="425"/>
  <w:bordersDoNotSurroundHeader xmlns:w="http://schemas.openxmlformats.org/wordprocessingml/2006/main" w:val="false"/>
  <w:bordersDoNotSurroundFooter xmlns:w="http://schemas.openxmlformats.org/wordprocessingml/2006/main" w:val="false"/>
  <w:footnotePr xmlns:w="http://schemas.openxmlformats.org/wordprocessingml/2006/main">
    <w:footnote w:id="0"/>
    <w:footnote w:id="1"/>
    <w:pos w:val="pageBottom"/>
  </w:footnotePr>
  <w:endnotePr xmlns:w="http://schemas.openxmlformats.org/wordprocessingml/2006/main">
    <w:endnote w:id="0"/>
    <w:endnote w:id="1"/>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image" Target="media/Image1.png"/><Relationship Id="rId3" Type="http://schemas.openxmlformats.org/officeDocument/2006/relationships/hyperlink" Target="http://www.fcd.asso.fr/maj/upload/docs_fcd/circulaires/524.rtf" TargetMode="External"/><Relationship Id="rId4" Type="http://schemas.openxmlformats.org/officeDocument/2006/relationships/hyperlink" Target="http://www.fcd.asso.fr/maj/upload/docs_fcd/doc_social/alimepargne.pdf" TargetMode="External"/><Relationship Id="rId5" Type="http://schemas.openxmlformats.org/officeDocument/2006/relationships/theme" Target="theme/theme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styles" Target="styles.xml"/><Relationship Id="rId11" Type="http://schemas.openxmlformats.org/officeDocument/2006/relationships/fontTable" Target="fontTable.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16</Pages>
  <Words>4352</Words>
  <Characters>23937</Characters>
  <CharactersWithSpaces>28233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PSL/JG</dc:title>
  <dc:creator>x</dc:creator>
</cp:coreProperties>
</file>