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FB" w:rsidRPr="009338FB" w:rsidRDefault="009338FB" w:rsidP="009338FB">
      <w:pPr>
        <w:spacing w:after="0" w:line="240" w:lineRule="auto"/>
        <w:jc w:val="center"/>
        <w:rPr>
          <w:rFonts w:ascii="Times New Roman" w:eastAsia="Times New Roman" w:hAnsi="Times New Roman" w:cs="Times New Roman"/>
          <w:color w:val="333399"/>
          <w:sz w:val="24"/>
          <w:szCs w:val="24"/>
          <w:lang w:eastAsia="fr-FR"/>
        </w:rPr>
      </w:pPr>
      <w:r>
        <w:rPr>
          <w:noProof/>
          <w:lang w:eastAsia="fr-FR"/>
        </w:rPr>
        <w:drawing>
          <wp:inline distT="0" distB="0" distL="0" distR="0" wp14:anchorId="6FE9910D" wp14:editId="73D3BFFF">
            <wp:extent cx="2752725" cy="504825"/>
            <wp:effectExtent l="0" t="0" r="9525" b="9525"/>
            <wp:docPr id="2" name="Image 1" descr="Description : COUL Logo FCD recad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OUL Logo FCD recadré"/>
                    <pic:cNvPicPr>
                      <a:picLocks noChangeAspect="1" noChangeArrowheads="1"/>
                    </pic:cNvPicPr>
                  </pic:nvPicPr>
                  <pic:blipFill>
                    <a:blip r:embed="rId9">
                      <a:extLst>
                        <a:ext uri="{28A0092B-C50C-407E-A947-70E740481C1C}">
                          <a14:useLocalDpi xmlns:a14="http://schemas.microsoft.com/office/drawing/2010/main" val="0"/>
                        </a:ext>
                      </a:extLst>
                    </a:blip>
                    <a:srcRect l="198" r="-1892" b="63893"/>
                    <a:stretch>
                      <a:fillRect/>
                    </a:stretch>
                  </pic:blipFill>
                  <pic:spPr bwMode="auto">
                    <a:xfrm>
                      <a:off x="0" y="0"/>
                      <a:ext cx="2752725" cy="504825"/>
                    </a:xfrm>
                    <a:prstGeom prst="rect">
                      <a:avLst/>
                    </a:prstGeom>
                    <a:noFill/>
                    <a:ln>
                      <a:noFill/>
                    </a:ln>
                  </pic:spPr>
                </pic:pic>
              </a:graphicData>
            </a:graphic>
          </wp:inline>
        </w:drawing>
      </w:r>
    </w:p>
    <w:p w:rsidR="009338FB" w:rsidRPr="009338FB" w:rsidRDefault="009338FB" w:rsidP="009338FB">
      <w:pPr>
        <w:spacing w:after="0" w:line="240" w:lineRule="auto"/>
        <w:jc w:val="center"/>
        <w:rPr>
          <w:rFonts w:ascii="Times New Roman" w:eastAsia="Times New Roman" w:hAnsi="Times New Roman" w:cs="Times New Roman"/>
          <w:color w:val="000099"/>
          <w:sz w:val="12"/>
          <w:szCs w:val="12"/>
          <w:lang w:eastAsia="fr-FR"/>
        </w:rPr>
      </w:pPr>
    </w:p>
    <w:p w:rsidR="009338FB" w:rsidRPr="009338FB" w:rsidRDefault="009338FB" w:rsidP="009338FB">
      <w:pPr>
        <w:spacing w:after="0" w:line="240" w:lineRule="auto"/>
        <w:jc w:val="center"/>
        <w:outlineLvl w:val="0"/>
        <w:rPr>
          <w:rFonts w:ascii="Times New Roman" w:eastAsia="Times New Roman" w:hAnsi="Times New Roman" w:cs="Times New Roman"/>
          <w:color w:val="000066"/>
          <w:sz w:val="12"/>
          <w:szCs w:val="12"/>
          <w:lang w:eastAsia="fr-FR"/>
        </w:rPr>
      </w:pPr>
      <w:r w:rsidRPr="009338FB">
        <w:rPr>
          <w:rFonts w:ascii="Times New Roman" w:eastAsia="Times New Roman" w:hAnsi="Times New Roman" w:cs="Times New Roman"/>
          <w:b/>
          <w:color w:val="000066"/>
          <w:sz w:val="18"/>
          <w:szCs w:val="18"/>
          <w:lang w:eastAsia="fr-FR"/>
        </w:rPr>
        <w:t>F</w:t>
      </w:r>
      <w:r w:rsidRPr="009338FB">
        <w:rPr>
          <w:rFonts w:ascii="Times New Roman" w:eastAsia="Times New Roman" w:hAnsi="Times New Roman" w:cs="Times New Roman"/>
          <w:color w:val="000066"/>
          <w:sz w:val="12"/>
          <w:szCs w:val="12"/>
          <w:lang w:eastAsia="fr-FR"/>
        </w:rPr>
        <w:t>EDERATION DES ENTREPRISES</w:t>
      </w:r>
    </w:p>
    <w:p w:rsidR="009338FB" w:rsidRPr="009338FB" w:rsidRDefault="009338FB" w:rsidP="009338FB">
      <w:pPr>
        <w:spacing w:after="0" w:line="240" w:lineRule="auto"/>
        <w:jc w:val="center"/>
        <w:outlineLvl w:val="0"/>
        <w:rPr>
          <w:rFonts w:ascii="Times New Roman" w:eastAsia="Times New Roman" w:hAnsi="Times New Roman" w:cs="Times New Roman"/>
          <w:color w:val="000066"/>
          <w:sz w:val="12"/>
          <w:szCs w:val="12"/>
          <w:lang w:eastAsia="fr-FR"/>
        </w:rPr>
      </w:pPr>
      <w:r w:rsidRPr="009338FB">
        <w:rPr>
          <w:rFonts w:ascii="Times New Roman" w:eastAsia="Times New Roman" w:hAnsi="Times New Roman" w:cs="Times New Roman"/>
          <w:color w:val="000066"/>
          <w:sz w:val="12"/>
          <w:szCs w:val="12"/>
          <w:lang w:eastAsia="fr-FR"/>
        </w:rPr>
        <w:t xml:space="preserve">DU </w:t>
      </w:r>
      <w:r w:rsidRPr="009338FB">
        <w:rPr>
          <w:rFonts w:ascii="Times New Roman" w:eastAsia="Times New Roman" w:hAnsi="Times New Roman" w:cs="Times New Roman"/>
          <w:b/>
          <w:color w:val="000066"/>
          <w:sz w:val="18"/>
          <w:szCs w:val="18"/>
          <w:lang w:eastAsia="fr-FR"/>
        </w:rPr>
        <w:t>C</w:t>
      </w:r>
      <w:r w:rsidRPr="009338FB">
        <w:rPr>
          <w:rFonts w:ascii="Times New Roman" w:eastAsia="Times New Roman" w:hAnsi="Times New Roman" w:cs="Times New Roman"/>
          <w:color w:val="000066"/>
          <w:sz w:val="12"/>
          <w:szCs w:val="12"/>
          <w:lang w:eastAsia="fr-FR"/>
        </w:rPr>
        <w:t>OMMERCE</w:t>
      </w:r>
    </w:p>
    <w:p w:rsidR="009338FB" w:rsidRPr="009338FB" w:rsidRDefault="009338FB" w:rsidP="009338FB">
      <w:pPr>
        <w:spacing w:after="0" w:line="240" w:lineRule="auto"/>
        <w:jc w:val="center"/>
        <w:outlineLvl w:val="0"/>
        <w:rPr>
          <w:rFonts w:ascii="Times New Roman" w:eastAsia="Times New Roman" w:hAnsi="Times New Roman" w:cs="Times New Roman"/>
          <w:color w:val="000066"/>
          <w:sz w:val="12"/>
          <w:szCs w:val="12"/>
          <w:lang w:eastAsia="fr-FR"/>
        </w:rPr>
      </w:pPr>
      <w:r w:rsidRPr="009338FB">
        <w:rPr>
          <w:rFonts w:ascii="Times New Roman" w:eastAsia="Times New Roman" w:hAnsi="Times New Roman" w:cs="Times New Roman"/>
          <w:color w:val="000066"/>
          <w:sz w:val="12"/>
          <w:szCs w:val="12"/>
          <w:lang w:eastAsia="fr-FR"/>
        </w:rPr>
        <w:t xml:space="preserve">ET DE LA </w:t>
      </w:r>
      <w:r w:rsidRPr="009338FB">
        <w:rPr>
          <w:rFonts w:ascii="Times New Roman" w:eastAsia="Times New Roman" w:hAnsi="Times New Roman" w:cs="Times New Roman"/>
          <w:b/>
          <w:color w:val="000066"/>
          <w:sz w:val="18"/>
          <w:szCs w:val="18"/>
          <w:lang w:eastAsia="fr-FR"/>
        </w:rPr>
        <w:t>D</w:t>
      </w:r>
      <w:r w:rsidRPr="009338FB">
        <w:rPr>
          <w:rFonts w:ascii="Times New Roman" w:eastAsia="Times New Roman" w:hAnsi="Times New Roman" w:cs="Times New Roman"/>
          <w:color w:val="000066"/>
          <w:sz w:val="12"/>
          <w:szCs w:val="12"/>
          <w:lang w:eastAsia="fr-FR"/>
        </w:rPr>
        <w:t>ISTRIBUTION</w:t>
      </w:r>
    </w:p>
    <w:p w:rsidR="0007498F" w:rsidRDefault="0007498F" w:rsidP="00F11C5B">
      <w:pPr>
        <w:rPr>
          <w:rFonts w:cstheme="minorHAnsi"/>
          <w:sz w:val="20"/>
          <w:szCs w:val="20"/>
        </w:rPr>
      </w:pPr>
    </w:p>
    <w:p w:rsidR="00A00B4A" w:rsidRPr="003B03B2" w:rsidRDefault="001D6E58" w:rsidP="003B03B2">
      <w:pPr>
        <w:pStyle w:val="Titre"/>
      </w:pPr>
      <w:r w:rsidRPr="003B03B2">
        <w:t>Information consommateur</w:t>
      </w:r>
    </w:p>
    <w:p w:rsidR="001D6E58" w:rsidRPr="003B03B2" w:rsidRDefault="0031237D" w:rsidP="003B03B2">
      <w:pPr>
        <w:pStyle w:val="Titre"/>
      </w:pPr>
      <w:r>
        <w:t>Etats des négociations au</w:t>
      </w:r>
      <w:bookmarkStart w:id="0" w:name="_GoBack"/>
      <w:bookmarkEnd w:id="0"/>
      <w:r w:rsidR="001D6E58" w:rsidRPr="003B03B2">
        <w:t xml:space="preserve"> </w:t>
      </w:r>
      <w:r w:rsidR="00062368" w:rsidRPr="003B03B2">
        <w:t>20 juin 2011</w:t>
      </w:r>
    </w:p>
    <w:p w:rsidR="00106DBF" w:rsidRPr="003B03B2" w:rsidRDefault="00106DBF" w:rsidP="003B03B2">
      <w:pPr>
        <w:pStyle w:val="Titre1"/>
      </w:pPr>
      <w:r w:rsidRPr="003B03B2">
        <w:t xml:space="preserve">Prochaines </w:t>
      </w:r>
      <w:r w:rsidRPr="003B03B2">
        <w:rPr>
          <w:rStyle w:val="Titre2Car"/>
          <w:b/>
          <w:bCs/>
          <w:color w:val="365F91" w:themeColor="accent1" w:themeShade="BF"/>
          <w:sz w:val="28"/>
          <w:szCs w:val="28"/>
        </w:rPr>
        <w:t>étapes</w:t>
      </w:r>
    </w:p>
    <w:p w:rsidR="00106DBF" w:rsidRPr="003B03B2" w:rsidRDefault="00106DBF" w:rsidP="00106DBF">
      <w:pPr>
        <w:spacing w:after="0" w:line="240" w:lineRule="auto"/>
        <w:rPr>
          <w:rFonts w:cstheme="minorHAnsi"/>
          <w:b/>
          <w:sz w:val="20"/>
          <w:szCs w:val="20"/>
        </w:rPr>
      </w:pPr>
      <w:r w:rsidRPr="003B03B2">
        <w:rPr>
          <w:rFonts w:cstheme="minorHAnsi"/>
          <w:b/>
          <w:sz w:val="20"/>
          <w:szCs w:val="20"/>
        </w:rPr>
        <w:t>Au  Conseil</w:t>
      </w:r>
    </w:p>
    <w:p w:rsidR="00106DBF" w:rsidRPr="00106DBF" w:rsidRDefault="00106DBF" w:rsidP="00106DBF">
      <w:pPr>
        <w:spacing w:after="0" w:line="240" w:lineRule="auto"/>
        <w:rPr>
          <w:rFonts w:cstheme="minorHAnsi"/>
          <w:sz w:val="20"/>
          <w:szCs w:val="20"/>
        </w:rPr>
      </w:pPr>
      <w:r w:rsidRPr="00106DBF">
        <w:rPr>
          <w:rFonts w:cstheme="minorHAnsi"/>
          <w:sz w:val="20"/>
          <w:szCs w:val="20"/>
        </w:rPr>
        <w:t>Ce package doit être ratifié par l’ensemble des Etats membres au Conseil : réunion du COREPER le 22 juin.</w:t>
      </w:r>
    </w:p>
    <w:p w:rsidR="00106DBF" w:rsidRPr="00106DBF" w:rsidRDefault="00106DBF" w:rsidP="00106DBF">
      <w:pPr>
        <w:spacing w:after="0" w:line="240" w:lineRule="auto"/>
        <w:rPr>
          <w:rFonts w:cstheme="minorHAnsi"/>
          <w:sz w:val="20"/>
          <w:szCs w:val="20"/>
        </w:rPr>
      </w:pPr>
      <w:r w:rsidRPr="00106DBF">
        <w:rPr>
          <w:rFonts w:cstheme="minorHAnsi"/>
          <w:sz w:val="20"/>
          <w:szCs w:val="20"/>
        </w:rPr>
        <w:t>NB A priori, ils devraient l’accepter dans la mesure où la plupart des mesures retenues proviennent de la dernière position du Conseil.</w:t>
      </w:r>
    </w:p>
    <w:p w:rsidR="00106DBF" w:rsidRPr="00106DBF" w:rsidRDefault="00106DBF" w:rsidP="00106DBF">
      <w:pPr>
        <w:spacing w:after="0" w:line="240" w:lineRule="auto"/>
        <w:rPr>
          <w:rFonts w:cstheme="minorHAnsi"/>
          <w:sz w:val="20"/>
          <w:szCs w:val="20"/>
        </w:rPr>
      </w:pPr>
    </w:p>
    <w:p w:rsidR="00106DBF" w:rsidRPr="003B03B2" w:rsidRDefault="00106DBF" w:rsidP="00106DBF">
      <w:pPr>
        <w:spacing w:after="0" w:line="240" w:lineRule="auto"/>
        <w:rPr>
          <w:rFonts w:cstheme="minorHAnsi"/>
          <w:b/>
          <w:sz w:val="20"/>
          <w:szCs w:val="20"/>
        </w:rPr>
      </w:pPr>
      <w:r w:rsidRPr="003B03B2">
        <w:rPr>
          <w:rFonts w:cstheme="minorHAnsi"/>
          <w:b/>
          <w:sz w:val="20"/>
          <w:szCs w:val="20"/>
        </w:rPr>
        <w:t>Puis au Parlement européen en plénière le 6 juillet</w:t>
      </w:r>
    </w:p>
    <w:p w:rsidR="00106DBF" w:rsidRPr="00106DBF" w:rsidRDefault="00106DBF" w:rsidP="00106DBF">
      <w:pPr>
        <w:spacing w:after="0" w:line="240" w:lineRule="auto"/>
        <w:rPr>
          <w:rFonts w:cstheme="minorHAnsi"/>
          <w:sz w:val="20"/>
          <w:szCs w:val="20"/>
        </w:rPr>
      </w:pPr>
      <w:r w:rsidRPr="00106DBF">
        <w:rPr>
          <w:rFonts w:cstheme="minorHAnsi"/>
          <w:sz w:val="20"/>
          <w:szCs w:val="20"/>
        </w:rPr>
        <w:t>NB Le Parlement a dernièrement connu un échec important sur le « novel food ». Leur « crédibilité » pourrait être mise en jeu si ce texte aussi n’était pas accepté.</w:t>
      </w:r>
    </w:p>
    <w:p w:rsidR="003B03B2" w:rsidRDefault="003B03B2" w:rsidP="00106DBF">
      <w:pPr>
        <w:spacing w:after="0" w:line="240" w:lineRule="auto"/>
        <w:rPr>
          <w:rFonts w:cstheme="minorHAnsi"/>
          <w:sz w:val="20"/>
          <w:szCs w:val="20"/>
        </w:rPr>
      </w:pPr>
    </w:p>
    <w:p w:rsidR="00106DBF" w:rsidRPr="003B03B2" w:rsidRDefault="00106DBF" w:rsidP="00106DBF">
      <w:pPr>
        <w:spacing w:after="0" w:line="240" w:lineRule="auto"/>
        <w:rPr>
          <w:rFonts w:cstheme="minorHAnsi"/>
          <w:b/>
          <w:sz w:val="20"/>
          <w:szCs w:val="20"/>
        </w:rPr>
      </w:pPr>
      <w:r w:rsidRPr="003B03B2">
        <w:rPr>
          <w:rFonts w:cstheme="minorHAnsi"/>
          <w:b/>
          <w:sz w:val="20"/>
          <w:szCs w:val="20"/>
        </w:rPr>
        <w:t>Donc le 6 juillet soit :</w:t>
      </w:r>
    </w:p>
    <w:p w:rsidR="00106DBF" w:rsidRPr="003B03B2" w:rsidRDefault="00106DBF" w:rsidP="003B03B2">
      <w:pPr>
        <w:pStyle w:val="Paragraphedeliste"/>
        <w:numPr>
          <w:ilvl w:val="0"/>
          <w:numId w:val="23"/>
        </w:numPr>
        <w:spacing w:after="0" w:line="240" w:lineRule="auto"/>
        <w:rPr>
          <w:rFonts w:cstheme="minorHAnsi"/>
          <w:sz w:val="20"/>
          <w:szCs w:val="20"/>
        </w:rPr>
      </w:pPr>
      <w:r w:rsidRPr="003B03B2">
        <w:rPr>
          <w:rFonts w:cstheme="minorHAnsi"/>
          <w:sz w:val="20"/>
          <w:szCs w:val="20"/>
        </w:rPr>
        <w:t>Ce package est accepté sans amendement et dès lors est adopté définitivement en position commune au Conseil en septembre</w:t>
      </w:r>
    </w:p>
    <w:p w:rsidR="00106DBF" w:rsidRPr="003B03B2" w:rsidRDefault="00106DBF" w:rsidP="003B03B2">
      <w:pPr>
        <w:pStyle w:val="Paragraphedeliste"/>
        <w:numPr>
          <w:ilvl w:val="0"/>
          <w:numId w:val="23"/>
        </w:numPr>
        <w:spacing w:after="0" w:line="240" w:lineRule="auto"/>
        <w:rPr>
          <w:rFonts w:cstheme="minorHAnsi"/>
          <w:sz w:val="20"/>
          <w:szCs w:val="20"/>
        </w:rPr>
      </w:pPr>
      <w:r w:rsidRPr="003B03B2">
        <w:rPr>
          <w:rFonts w:cstheme="minorHAnsi"/>
          <w:sz w:val="20"/>
          <w:szCs w:val="20"/>
        </w:rPr>
        <w:t>La proposition législative part en conciliation avec très peu de chance de voir le jour.</w:t>
      </w:r>
    </w:p>
    <w:p w:rsidR="00106DBF" w:rsidRPr="00106DBF" w:rsidRDefault="00106DBF" w:rsidP="00106DBF">
      <w:pPr>
        <w:spacing w:after="0" w:line="240" w:lineRule="auto"/>
        <w:rPr>
          <w:rFonts w:cstheme="minorHAnsi"/>
          <w:sz w:val="20"/>
          <w:szCs w:val="20"/>
        </w:rPr>
      </w:pPr>
    </w:p>
    <w:p w:rsidR="001D6E58" w:rsidRDefault="00106DBF" w:rsidP="00A00B4A">
      <w:pPr>
        <w:spacing w:after="0" w:line="240" w:lineRule="auto"/>
        <w:rPr>
          <w:rFonts w:cstheme="minorHAnsi"/>
          <w:sz w:val="20"/>
          <w:szCs w:val="20"/>
        </w:rPr>
      </w:pPr>
      <w:r w:rsidRPr="003B03B2">
        <w:rPr>
          <w:rFonts w:cstheme="minorHAnsi"/>
          <w:b/>
          <w:sz w:val="20"/>
          <w:szCs w:val="20"/>
        </w:rPr>
        <w:t>12 juillet</w:t>
      </w:r>
      <w:r w:rsidRPr="00106DBF">
        <w:rPr>
          <w:rFonts w:cstheme="minorHAnsi"/>
          <w:sz w:val="20"/>
          <w:szCs w:val="20"/>
        </w:rPr>
        <w:t>: réunion de la DG Sanco et DG entreprise sur les bonnes pr</w:t>
      </w:r>
      <w:r w:rsidR="003B03B2">
        <w:rPr>
          <w:rFonts w:cstheme="minorHAnsi"/>
          <w:sz w:val="20"/>
          <w:szCs w:val="20"/>
        </w:rPr>
        <w:t>atiques en matière d’étiquetage</w:t>
      </w:r>
    </w:p>
    <w:p w:rsidR="001D6E58" w:rsidRPr="001D6E58" w:rsidRDefault="001D6E58" w:rsidP="003B03B2">
      <w:pPr>
        <w:pStyle w:val="Titre1"/>
      </w:pPr>
      <w:r>
        <w:t>P</w:t>
      </w:r>
      <w:r w:rsidRPr="001D6E58">
        <w:t>oints non négociable</w:t>
      </w:r>
      <w:r>
        <w:t>s durant la suite du processus</w:t>
      </w:r>
    </w:p>
    <w:p w:rsidR="00054C9B" w:rsidRPr="001D6E58" w:rsidRDefault="00DF5345" w:rsidP="001D6E58">
      <w:pPr>
        <w:numPr>
          <w:ilvl w:val="0"/>
          <w:numId w:val="17"/>
        </w:numPr>
        <w:spacing w:after="0" w:line="240" w:lineRule="auto"/>
        <w:ind w:left="360"/>
        <w:rPr>
          <w:rFonts w:cstheme="minorHAnsi"/>
          <w:sz w:val="20"/>
          <w:szCs w:val="20"/>
        </w:rPr>
      </w:pPr>
      <w:r w:rsidRPr="001D6E58">
        <w:rPr>
          <w:rFonts w:cstheme="minorHAnsi"/>
          <w:b/>
          <w:bCs/>
          <w:sz w:val="20"/>
          <w:szCs w:val="20"/>
        </w:rPr>
        <w:t>Etiquetage de l’origine</w:t>
      </w:r>
      <w:r w:rsidR="001D6E58">
        <w:rPr>
          <w:rStyle w:val="Appeldenotedefin"/>
          <w:rFonts w:cstheme="minorHAnsi"/>
          <w:b/>
          <w:bCs/>
          <w:sz w:val="20"/>
          <w:szCs w:val="20"/>
        </w:rPr>
        <w:endnoteReference w:id="1"/>
      </w:r>
      <w:r w:rsidRPr="001D6E58">
        <w:rPr>
          <w:rFonts w:cstheme="minorHAnsi"/>
          <w:b/>
          <w:bCs/>
          <w:sz w:val="20"/>
          <w:szCs w:val="20"/>
        </w:rPr>
        <w:t xml:space="preserve"> : </w:t>
      </w:r>
    </w:p>
    <w:p w:rsidR="00054C9B" w:rsidRPr="001D6E58"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Obligatoire pour la viande fraiche de porc, d'agneau, de volaille et de chèvre, sous réserve de modalités d'exécution (</w:t>
      </w:r>
      <w:r w:rsidR="001D6E58">
        <w:rPr>
          <w:rFonts w:cstheme="minorHAnsi"/>
          <w:sz w:val="20"/>
          <w:szCs w:val="20"/>
        </w:rPr>
        <w:t>annexe XI</w:t>
      </w:r>
      <w:r w:rsidRPr="001D6E58">
        <w:rPr>
          <w:rFonts w:cstheme="minorHAnsi"/>
          <w:sz w:val="20"/>
          <w:szCs w:val="20"/>
        </w:rPr>
        <w:t>)</w:t>
      </w:r>
    </w:p>
    <w:p w:rsidR="00054C9B" w:rsidRPr="001D6E58"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Pour la viande</w:t>
      </w:r>
      <w:r w:rsidR="001D6E58" w:rsidRPr="001D6E58">
        <w:rPr>
          <w:rFonts w:cstheme="minorHAnsi"/>
          <w:sz w:val="20"/>
          <w:szCs w:val="20"/>
        </w:rPr>
        <w:t xml:space="preserve"> </w:t>
      </w:r>
      <w:r w:rsidR="001D6E58">
        <w:rPr>
          <w:rFonts w:cstheme="minorHAnsi"/>
          <w:sz w:val="20"/>
          <w:szCs w:val="20"/>
        </w:rPr>
        <w:t>fraiche</w:t>
      </w:r>
      <w:r w:rsidRPr="001D6E58">
        <w:rPr>
          <w:rFonts w:cstheme="minorHAnsi"/>
          <w:sz w:val="20"/>
          <w:szCs w:val="20"/>
        </w:rPr>
        <w:t> : référence(s) au(x) lieu(x) de naissance/d’élevage/d’abattage.</w:t>
      </w:r>
    </w:p>
    <w:p w:rsidR="001D6E58" w:rsidRPr="001D6E58"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Etude d’impact demandée à la Commission sur les autres produits, à rendre dans les 2 ans.</w:t>
      </w:r>
    </w:p>
    <w:p w:rsidR="001D6E58" w:rsidRPr="001D6E58" w:rsidRDefault="001D6E58" w:rsidP="001D6E58">
      <w:pPr>
        <w:spacing w:after="0" w:line="240" w:lineRule="auto"/>
        <w:rPr>
          <w:rFonts w:cstheme="minorHAnsi"/>
          <w:sz w:val="20"/>
          <w:szCs w:val="20"/>
        </w:rPr>
      </w:pPr>
    </w:p>
    <w:p w:rsidR="00054C9B" w:rsidRPr="001D6E58" w:rsidRDefault="00DF5345" w:rsidP="001D6E58">
      <w:pPr>
        <w:numPr>
          <w:ilvl w:val="0"/>
          <w:numId w:val="17"/>
        </w:numPr>
        <w:spacing w:after="0" w:line="240" w:lineRule="auto"/>
        <w:ind w:left="360"/>
        <w:rPr>
          <w:rFonts w:cstheme="minorHAnsi"/>
          <w:sz w:val="20"/>
          <w:szCs w:val="20"/>
        </w:rPr>
      </w:pPr>
      <w:r w:rsidRPr="001D6E58">
        <w:rPr>
          <w:rFonts w:cstheme="minorHAnsi"/>
          <w:b/>
          <w:bCs/>
          <w:sz w:val="20"/>
          <w:szCs w:val="20"/>
        </w:rPr>
        <w:t xml:space="preserve">Abattage sans étourdissement : </w:t>
      </w:r>
    </w:p>
    <w:p w:rsidR="00054C9B" w:rsidRPr="001D6E58"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Pas d’étiquetage obligatoire</w:t>
      </w:r>
    </w:p>
    <w:p w:rsidR="00054C9B"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La commission étudiera ce point dans sa stratégie sur le bien-être animal</w:t>
      </w:r>
    </w:p>
    <w:p w:rsidR="001D6E58" w:rsidRPr="001D6E58" w:rsidRDefault="001D6E58" w:rsidP="001D6E58">
      <w:pPr>
        <w:spacing w:after="0" w:line="240" w:lineRule="auto"/>
        <w:ind w:left="1080"/>
        <w:rPr>
          <w:rFonts w:cstheme="minorHAnsi"/>
          <w:sz w:val="20"/>
          <w:szCs w:val="20"/>
        </w:rPr>
      </w:pPr>
    </w:p>
    <w:p w:rsidR="00054C9B" w:rsidRPr="001D6E58" w:rsidRDefault="00DF5345" w:rsidP="001D6E58">
      <w:pPr>
        <w:numPr>
          <w:ilvl w:val="0"/>
          <w:numId w:val="17"/>
        </w:numPr>
        <w:spacing w:after="0" w:line="240" w:lineRule="auto"/>
        <w:ind w:left="360"/>
        <w:rPr>
          <w:rFonts w:cstheme="minorHAnsi"/>
          <w:sz w:val="20"/>
          <w:szCs w:val="20"/>
        </w:rPr>
      </w:pPr>
      <w:r w:rsidRPr="001D6E58">
        <w:rPr>
          <w:rFonts w:cstheme="minorHAnsi"/>
          <w:b/>
          <w:bCs/>
          <w:sz w:val="20"/>
          <w:szCs w:val="20"/>
        </w:rPr>
        <w:t>Allergènes</w:t>
      </w:r>
    </w:p>
    <w:p w:rsidR="00054C9B" w:rsidRPr="001D6E58"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Pas de liste séparée sur les allergènes (à côté de la liste d’ingrédients)</w:t>
      </w:r>
    </w:p>
    <w:p w:rsidR="00054C9B"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Mais ils seront mis en valeur dans la liste d</w:t>
      </w:r>
      <w:r w:rsidR="00062368">
        <w:rPr>
          <w:rFonts w:cstheme="minorHAnsi"/>
          <w:sz w:val="20"/>
          <w:szCs w:val="20"/>
        </w:rPr>
        <w:t>’ingrédients elle-même par notamment la couleur, la police ou le style</w:t>
      </w:r>
    </w:p>
    <w:p w:rsidR="001D6E58" w:rsidRPr="001D6E58" w:rsidRDefault="001D6E58" w:rsidP="001D6E58">
      <w:pPr>
        <w:spacing w:after="0" w:line="240" w:lineRule="auto"/>
        <w:ind w:left="1080"/>
        <w:rPr>
          <w:rFonts w:cstheme="minorHAnsi"/>
          <w:sz w:val="20"/>
          <w:szCs w:val="20"/>
        </w:rPr>
      </w:pPr>
    </w:p>
    <w:p w:rsidR="00054C9B" w:rsidRPr="001D6E58" w:rsidRDefault="00DF5345" w:rsidP="001D6E58">
      <w:pPr>
        <w:numPr>
          <w:ilvl w:val="0"/>
          <w:numId w:val="17"/>
        </w:numPr>
        <w:spacing w:after="0" w:line="240" w:lineRule="auto"/>
        <w:ind w:left="360"/>
        <w:rPr>
          <w:rFonts w:cstheme="minorHAnsi"/>
          <w:sz w:val="20"/>
          <w:szCs w:val="20"/>
        </w:rPr>
      </w:pPr>
      <w:r w:rsidRPr="001D6E58">
        <w:rPr>
          <w:rFonts w:cstheme="minorHAnsi"/>
          <w:b/>
          <w:bCs/>
          <w:sz w:val="20"/>
          <w:szCs w:val="20"/>
        </w:rPr>
        <w:t>Acide gras trans</w:t>
      </w:r>
    </w:p>
    <w:p w:rsidR="00054C9B" w:rsidRPr="001D6E58"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Plus de label obligatoire ou volontaire</w:t>
      </w:r>
    </w:p>
    <w:p w:rsidR="00054C9B" w:rsidRDefault="00DF5345" w:rsidP="001D6E58">
      <w:pPr>
        <w:numPr>
          <w:ilvl w:val="1"/>
          <w:numId w:val="17"/>
        </w:numPr>
        <w:spacing w:after="0" w:line="240" w:lineRule="auto"/>
        <w:ind w:left="1080"/>
        <w:rPr>
          <w:rFonts w:cstheme="minorHAnsi"/>
          <w:sz w:val="20"/>
          <w:szCs w:val="20"/>
        </w:rPr>
      </w:pPr>
      <w:r w:rsidRPr="001D6E58">
        <w:rPr>
          <w:rFonts w:cstheme="minorHAnsi"/>
          <w:sz w:val="20"/>
          <w:szCs w:val="20"/>
        </w:rPr>
        <w:t>Mais une étude d’impact de la Commission accompagnée si nécessaire d’une proposition législative.</w:t>
      </w:r>
    </w:p>
    <w:p w:rsidR="003B03B2" w:rsidRDefault="003B03B2" w:rsidP="003B03B2">
      <w:pPr>
        <w:pStyle w:val="Titre1"/>
      </w:pPr>
      <w:r>
        <w:lastRenderedPageBreak/>
        <w:t>Autres points</w:t>
      </w:r>
    </w:p>
    <w:p w:rsidR="00062368" w:rsidRPr="001D6E58" w:rsidRDefault="00062368" w:rsidP="00062368">
      <w:pPr>
        <w:spacing w:after="0" w:line="240" w:lineRule="auto"/>
        <w:ind w:left="1080"/>
        <w:rPr>
          <w:rFonts w:cstheme="minorHAnsi"/>
          <w:sz w:val="20"/>
          <w:szCs w:val="20"/>
        </w:rPr>
      </w:pPr>
    </w:p>
    <w:p w:rsidR="00054C9B" w:rsidRPr="00062368" w:rsidRDefault="00DF5345" w:rsidP="00062368">
      <w:pPr>
        <w:numPr>
          <w:ilvl w:val="0"/>
          <w:numId w:val="17"/>
        </w:numPr>
        <w:spacing w:after="0" w:line="240" w:lineRule="auto"/>
        <w:ind w:left="284"/>
        <w:rPr>
          <w:rFonts w:cstheme="minorHAnsi"/>
          <w:sz w:val="20"/>
          <w:szCs w:val="20"/>
        </w:rPr>
      </w:pPr>
      <w:r w:rsidRPr="00062368">
        <w:rPr>
          <w:rFonts w:cstheme="minorHAnsi"/>
          <w:b/>
          <w:bCs/>
          <w:sz w:val="20"/>
          <w:szCs w:val="20"/>
        </w:rPr>
        <w:t>Déclaration nutritionnelle obligatoire</w:t>
      </w:r>
      <w:r w:rsidRPr="00062368">
        <w:rPr>
          <w:rFonts w:cstheme="minorHAnsi"/>
          <w:sz w:val="20"/>
          <w:szCs w:val="20"/>
        </w:rPr>
        <w:t xml:space="preserve">: </w:t>
      </w:r>
    </w:p>
    <w:p w:rsidR="00054C9B" w:rsidRPr="00062368" w:rsidRDefault="00062368" w:rsidP="00062368">
      <w:pPr>
        <w:numPr>
          <w:ilvl w:val="1"/>
          <w:numId w:val="17"/>
        </w:numPr>
        <w:spacing w:after="0" w:line="240" w:lineRule="auto"/>
        <w:ind w:left="1134"/>
        <w:rPr>
          <w:rFonts w:cstheme="minorHAnsi"/>
          <w:sz w:val="20"/>
          <w:szCs w:val="20"/>
        </w:rPr>
      </w:pPr>
      <w:r>
        <w:rPr>
          <w:rFonts w:cstheme="minorHAnsi"/>
          <w:sz w:val="20"/>
          <w:szCs w:val="20"/>
        </w:rPr>
        <w:t>E</w:t>
      </w:r>
      <w:r w:rsidR="00DF5345" w:rsidRPr="00062368">
        <w:rPr>
          <w:rFonts w:cstheme="minorHAnsi"/>
          <w:sz w:val="20"/>
          <w:szCs w:val="20"/>
        </w:rPr>
        <w:t xml:space="preserve">nergie, graisse, saturé, protéine, sucre, sel,  glucides par 100g/100ml dans un tableau </w:t>
      </w:r>
    </w:p>
    <w:p w:rsidR="00062368" w:rsidRDefault="00DF5345" w:rsidP="00062368">
      <w:pPr>
        <w:numPr>
          <w:ilvl w:val="1"/>
          <w:numId w:val="17"/>
        </w:numPr>
        <w:spacing w:after="0" w:line="240" w:lineRule="auto"/>
        <w:ind w:left="1134"/>
        <w:rPr>
          <w:rFonts w:cstheme="minorHAnsi"/>
          <w:sz w:val="20"/>
          <w:szCs w:val="20"/>
        </w:rPr>
      </w:pPr>
      <w:r w:rsidRPr="00062368">
        <w:rPr>
          <w:rFonts w:cstheme="minorHAnsi"/>
          <w:sz w:val="20"/>
          <w:szCs w:val="20"/>
        </w:rPr>
        <w:t>Présenter sur le principal « champ de vision »</w:t>
      </w:r>
      <w:r w:rsidR="00062368">
        <w:rPr>
          <w:rFonts w:cstheme="minorHAnsi"/>
          <w:sz w:val="20"/>
          <w:szCs w:val="20"/>
        </w:rPr>
        <w:t xml:space="preserve"> considéré comme l’arrière du pack</w:t>
      </w:r>
      <w:r w:rsidR="00062368">
        <w:rPr>
          <w:rStyle w:val="Appeldenotedefin"/>
          <w:rFonts w:cstheme="minorHAnsi"/>
          <w:sz w:val="20"/>
          <w:szCs w:val="20"/>
        </w:rPr>
        <w:endnoteReference w:id="2"/>
      </w:r>
    </w:p>
    <w:p w:rsidR="00062368" w:rsidRDefault="00DF5345" w:rsidP="00062368">
      <w:pPr>
        <w:numPr>
          <w:ilvl w:val="1"/>
          <w:numId w:val="17"/>
        </w:numPr>
        <w:spacing w:after="0" w:line="240" w:lineRule="auto"/>
        <w:ind w:left="1134"/>
        <w:rPr>
          <w:rFonts w:cstheme="minorHAnsi"/>
          <w:sz w:val="20"/>
          <w:szCs w:val="20"/>
        </w:rPr>
      </w:pPr>
      <w:r w:rsidRPr="00062368">
        <w:rPr>
          <w:rFonts w:cstheme="minorHAnsi"/>
          <w:sz w:val="20"/>
          <w:szCs w:val="20"/>
        </w:rPr>
        <w:t>Possibilité de répéter:</w:t>
      </w:r>
    </w:p>
    <w:p w:rsidR="00062368" w:rsidRDefault="00DF5345" w:rsidP="00062368">
      <w:pPr>
        <w:numPr>
          <w:ilvl w:val="2"/>
          <w:numId w:val="17"/>
        </w:numPr>
        <w:spacing w:after="0" w:line="240" w:lineRule="auto"/>
        <w:rPr>
          <w:rFonts w:cstheme="minorHAnsi"/>
          <w:sz w:val="20"/>
          <w:szCs w:val="20"/>
        </w:rPr>
      </w:pPr>
      <w:r w:rsidRPr="00062368">
        <w:rPr>
          <w:rFonts w:cstheme="minorHAnsi"/>
          <w:sz w:val="20"/>
          <w:szCs w:val="20"/>
        </w:rPr>
        <w:t xml:space="preserve">Energie ou </w:t>
      </w:r>
    </w:p>
    <w:p w:rsidR="00054C9B" w:rsidRPr="00062368" w:rsidRDefault="00DF5345" w:rsidP="00062368">
      <w:pPr>
        <w:numPr>
          <w:ilvl w:val="2"/>
          <w:numId w:val="17"/>
        </w:numPr>
        <w:spacing w:after="0" w:line="240" w:lineRule="auto"/>
        <w:rPr>
          <w:rFonts w:cstheme="minorHAnsi"/>
          <w:sz w:val="20"/>
          <w:szCs w:val="20"/>
        </w:rPr>
      </w:pPr>
      <w:r w:rsidRPr="00062368">
        <w:rPr>
          <w:rFonts w:cstheme="minorHAnsi"/>
          <w:sz w:val="20"/>
          <w:szCs w:val="20"/>
        </w:rPr>
        <w:t>Energie + sucre, graisse, sel et saturé</w:t>
      </w:r>
    </w:p>
    <w:p w:rsidR="00062368" w:rsidRDefault="00DF5345" w:rsidP="00062368">
      <w:pPr>
        <w:numPr>
          <w:ilvl w:val="1"/>
          <w:numId w:val="17"/>
        </w:numPr>
        <w:spacing w:after="0" w:line="240" w:lineRule="auto"/>
        <w:ind w:left="1134"/>
        <w:rPr>
          <w:rFonts w:cstheme="minorHAnsi"/>
          <w:sz w:val="20"/>
          <w:szCs w:val="20"/>
        </w:rPr>
      </w:pPr>
      <w:r w:rsidRPr="00062368">
        <w:rPr>
          <w:rFonts w:cstheme="minorHAnsi"/>
          <w:sz w:val="20"/>
          <w:szCs w:val="20"/>
        </w:rPr>
        <w:t>Si cette information est répétée:</w:t>
      </w:r>
    </w:p>
    <w:p w:rsidR="00062368" w:rsidRDefault="00DF5345" w:rsidP="00062368">
      <w:pPr>
        <w:numPr>
          <w:ilvl w:val="2"/>
          <w:numId w:val="17"/>
        </w:numPr>
        <w:spacing w:after="0" w:line="240" w:lineRule="auto"/>
        <w:rPr>
          <w:rFonts w:cstheme="minorHAnsi"/>
          <w:sz w:val="20"/>
          <w:szCs w:val="20"/>
        </w:rPr>
      </w:pPr>
      <w:r w:rsidRPr="00062368">
        <w:rPr>
          <w:rFonts w:cstheme="minorHAnsi"/>
          <w:sz w:val="20"/>
          <w:szCs w:val="20"/>
        </w:rPr>
        <w:t>Energie par 100g/100ml et possibilité d’ajouter par portion</w:t>
      </w:r>
    </w:p>
    <w:p w:rsidR="00054C9B" w:rsidRPr="00062368" w:rsidRDefault="00DF5345" w:rsidP="00062368">
      <w:pPr>
        <w:numPr>
          <w:ilvl w:val="2"/>
          <w:numId w:val="17"/>
        </w:numPr>
        <w:spacing w:after="0" w:line="240" w:lineRule="auto"/>
        <w:rPr>
          <w:rFonts w:cstheme="minorHAnsi"/>
          <w:sz w:val="20"/>
          <w:szCs w:val="20"/>
        </w:rPr>
      </w:pPr>
      <w:r w:rsidRPr="00062368">
        <w:rPr>
          <w:rFonts w:cstheme="minorHAnsi"/>
          <w:sz w:val="20"/>
          <w:szCs w:val="20"/>
        </w:rPr>
        <w:t xml:space="preserve">sucre, graisse, sel et saturé peuvent être répétés </w:t>
      </w:r>
      <w:r w:rsidR="00106DBF">
        <w:rPr>
          <w:rFonts w:cstheme="minorHAnsi"/>
          <w:sz w:val="20"/>
          <w:szCs w:val="20"/>
        </w:rPr>
        <w:t xml:space="preserve">par100ml/mg ou </w:t>
      </w:r>
      <w:r w:rsidRPr="00062368">
        <w:rPr>
          <w:rFonts w:cstheme="minorHAnsi"/>
          <w:sz w:val="20"/>
          <w:szCs w:val="20"/>
        </w:rPr>
        <w:t>par portion</w:t>
      </w:r>
      <w:r w:rsidR="00106DBF">
        <w:rPr>
          <w:rFonts w:cstheme="minorHAnsi"/>
          <w:sz w:val="20"/>
          <w:szCs w:val="20"/>
        </w:rPr>
        <w:t xml:space="preserve"> ou par unité de consommation</w:t>
      </w:r>
    </w:p>
    <w:p w:rsidR="00054C9B" w:rsidRPr="00062368" w:rsidRDefault="00DF5345" w:rsidP="00062368">
      <w:pPr>
        <w:numPr>
          <w:ilvl w:val="0"/>
          <w:numId w:val="17"/>
        </w:numPr>
        <w:spacing w:after="0" w:line="240" w:lineRule="auto"/>
        <w:ind w:left="284"/>
        <w:rPr>
          <w:rFonts w:cstheme="minorHAnsi"/>
          <w:sz w:val="20"/>
          <w:szCs w:val="20"/>
        </w:rPr>
      </w:pPr>
      <w:r w:rsidRPr="00062368">
        <w:rPr>
          <w:rFonts w:cstheme="minorHAnsi"/>
          <w:b/>
          <w:bCs/>
          <w:sz w:val="20"/>
          <w:szCs w:val="20"/>
        </w:rPr>
        <w:t xml:space="preserve">AJR </w:t>
      </w:r>
    </w:p>
    <w:p w:rsidR="00054C9B" w:rsidRPr="00062368" w:rsidRDefault="00DF5345" w:rsidP="00062368">
      <w:pPr>
        <w:numPr>
          <w:ilvl w:val="1"/>
          <w:numId w:val="17"/>
        </w:numPr>
        <w:spacing w:after="0" w:line="240" w:lineRule="auto"/>
        <w:ind w:left="1134"/>
        <w:rPr>
          <w:rFonts w:cstheme="minorHAnsi"/>
          <w:sz w:val="20"/>
          <w:szCs w:val="20"/>
        </w:rPr>
      </w:pPr>
      <w:r w:rsidRPr="00062368">
        <w:rPr>
          <w:rFonts w:cstheme="minorHAnsi"/>
          <w:sz w:val="20"/>
          <w:szCs w:val="20"/>
        </w:rPr>
        <w:t>volontaire +</w:t>
      </w:r>
      <w:r w:rsidR="007A5CEF">
        <w:rPr>
          <w:rFonts w:cstheme="minorHAnsi"/>
          <w:sz w:val="20"/>
          <w:szCs w:val="20"/>
        </w:rPr>
        <w:t xml:space="preserve"> mention</w:t>
      </w:r>
      <w:r w:rsidRPr="00062368">
        <w:rPr>
          <w:rFonts w:cstheme="minorHAnsi"/>
          <w:sz w:val="20"/>
          <w:szCs w:val="20"/>
        </w:rPr>
        <w:t xml:space="preserve"> « besoin moyen d'un adulte moyen (8.400KJ/2000Kcal) »</w:t>
      </w:r>
    </w:p>
    <w:p w:rsidR="00054C9B" w:rsidRPr="00062368" w:rsidRDefault="00DF5345" w:rsidP="00062368">
      <w:pPr>
        <w:numPr>
          <w:ilvl w:val="1"/>
          <w:numId w:val="17"/>
        </w:numPr>
        <w:spacing w:after="0" w:line="240" w:lineRule="auto"/>
        <w:ind w:left="1134"/>
        <w:rPr>
          <w:rFonts w:cstheme="minorHAnsi"/>
          <w:sz w:val="20"/>
          <w:szCs w:val="20"/>
        </w:rPr>
      </w:pPr>
      <w:r w:rsidRPr="00062368">
        <w:rPr>
          <w:rFonts w:cstheme="minorHAnsi"/>
          <w:sz w:val="20"/>
          <w:szCs w:val="20"/>
        </w:rPr>
        <w:t>D'autres formes de présentation sont permises, sous réserve de certaines conditions (telles que les symboles ou graphiques)</w:t>
      </w:r>
    </w:p>
    <w:p w:rsidR="00054C9B" w:rsidRPr="00062368" w:rsidRDefault="00106DBF" w:rsidP="00062368">
      <w:pPr>
        <w:numPr>
          <w:ilvl w:val="1"/>
          <w:numId w:val="17"/>
        </w:numPr>
        <w:spacing w:after="0" w:line="240" w:lineRule="auto"/>
        <w:ind w:left="1134"/>
        <w:rPr>
          <w:rFonts w:cstheme="minorHAnsi"/>
          <w:sz w:val="20"/>
          <w:szCs w:val="20"/>
        </w:rPr>
      </w:pPr>
      <w:r>
        <w:rPr>
          <w:rFonts w:cstheme="minorHAnsi"/>
          <w:sz w:val="20"/>
          <w:szCs w:val="20"/>
        </w:rPr>
        <w:t xml:space="preserve"> Etas membre</w:t>
      </w:r>
      <w:r w:rsidR="00DF5345" w:rsidRPr="00062368">
        <w:rPr>
          <w:rFonts w:cstheme="minorHAnsi"/>
          <w:sz w:val="20"/>
          <w:szCs w:val="20"/>
        </w:rPr>
        <w:t xml:space="preserve"> conservent la possibilité de recommander l'utilisation de certaines formes d’expression</w:t>
      </w:r>
    </w:p>
    <w:p w:rsidR="00054C9B" w:rsidRDefault="0031237D" w:rsidP="00062368">
      <w:pPr>
        <w:numPr>
          <w:ilvl w:val="1"/>
          <w:numId w:val="17"/>
        </w:numPr>
        <w:spacing w:after="0" w:line="240" w:lineRule="auto"/>
        <w:ind w:left="1134"/>
        <w:rPr>
          <w:rFonts w:cstheme="minorHAnsi"/>
          <w:sz w:val="20"/>
          <w:szCs w:val="20"/>
        </w:rPr>
      </w:pPr>
      <w:r>
        <w:rPr>
          <w:rFonts w:cstheme="minorHAnsi"/>
          <w:sz w:val="20"/>
          <w:szCs w:val="20"/>
        </w:rPr>
        <w:t>La Commission</w:t>
      </w:r>
      <w:r w:rsidR="00DF5345" w:rsidRPr="00062368">
        <w:rPr>
          <w:rFonts w:cstheme="minorHAnsi"/>
          <w:sz w:val="20"/>
          <w:szCs w:val="20"/>
        </w:rPr>
        <w:t xml:space="preserve"> soumettra un rapport sur l'opportunité d'harmoniser davantage ces formes d’expression</w:t>
      </w:r>
    </w:p>
    <w:p w:rsidR="00106DBF" w:rsidRPr="00062368" w:rsidRDefault="00106DBF" w:rsidP="00106DBF">
      <w:pPr>
        <w:spacing w:after="0" w:line="240" w:lineRule="auto"/>
        <w:rPr>
          <w:rFonts w:cstheme="minorHAnsi"/>
          <w:sz w:val="20"/>
          <w:szCs w:val="20"/>
        </w:rPr>
      </w:pPr>
    </w:p>
    <w:p w:rsidR="00106DBF" w:rsidRDefault="00106DBF" w:rsidP="00106DBF">
      <w:pPr>
        <w:pStyle w:val="Paragraphedeliste"/>
        <w:numPr>
          <w:ilvl w:val="0"/>
          <w:numId w:val="17"/>
        </w:numPr>
        <w:spacing w:after="0" w:line="240" w:lineRule="auto"/>
        <w:ind w:left="284"/>
        <w:rPr>
          <w:rFonts w:cstheme="minorHAnsi"/>
          <w:b/>
          <w:sz w:val="20"/>
          <w:szCs w:val="20"/>
        </w:rPr>
      </w:pPr>
      <w:r w:rsidRPr="00106DBF">
        <w:rPr>
          <w:rFonts w:cstheme="minorHAnsi"/>
          <w:b/>
          <w:sz w:val="20"/>
          <w:szCs w:val="20"/>
        </w:rPr>
        <w:t>Lisibilité</w:t>
      </w:r>
    </w:p>
    <w:p w:rsidR="00106DBF" w:rsidRPr="00106DBF" w:rsidRDefault="00106DBF" w:rsidP="00106DBF">
      <w:pPr>
        <w:pStyle w:val="Paragraphedeliste"/>
        <w:numPr>
          <w:ilvl w:val="1"/>
          <w:numId w:val="17"/>
        </w:numPr>
        <w:spacing w:after="0" w:line="240" w:lineRule="auto"/>
        <w:ind w:left="1134"/>
        <w:rPr>
          <w:rFonts w:cstheme="minorHAnsi"/>
          <w:b/>
          <w:sz w:val="20"/>
          <w:szCs w:val="20"/>
        </w:rPr>
      </w:pPr>
      <w:r w:rsidRPr="00106DBF">
        <w:rPr>
          <w:rFonts w:cstheme="minorHAnsi"/>
          <w:sz w:val="20"/>
          <w:szCs w:val="20"/>
        </w:rPr>
        <w:t>Taille de police minimale de 1,2 mm pour les surfaces &gt; 80cm2</w:t>
      </w:r>
      <w:r>
        <w:rPr>
          <w:rFonts w:cstheme="minorHAnsi"/>
          <w:sz w:val="20"/>
          <w:szCs w:val="20"/>
        </w:rPr>
        <w:t xml:space="preserve"> </w:t>
      </w:r>
    </w:p>
    <w:p w:rsidR="00106DBF" w:rsidRPr="00106DBF" w:rsidRDefault="00106DBF" w:rsidP="00106DBF">
      <w:pPr>
        <w:pStyle w:val="Paragraphedeliste"/>
        <w:numPr>
          <w:ilvl w:val="1"/>
          <w:numId w:val="17"/>
        </w:numPr>
        <w:spacing w:after="0" w:line="240" w:lineRule="auto"/>
        <w:ind w:left="1134"/>
        <w:rPr>
          <w:rFonts w:cstheme="minorHAnsi"/>
          <w:b/>
          <w:sz w:val="20"/>
          <w:szCs w:val="20"/>
        </w:rPr>
      </w:pPr>
      <w:r w:rsidRPr="00106DBF">
        <w:rPr>
          <w:rFonts w:cstheme="minorHAnsi"/>
          <w:sz w:val="20"/>
          <w:szCs w:val="20"/>
        </w:rPr>
        <w:t>Taille de police minimale de 0,9 mm pour la surface &lt;80cm2</w:t>
      </w:r>
    </w:p>
    <w:p w:rsidR="00106DBF" w:rsidRPr="00106DBF" w:rsidRDefault="00106DBF" w:rsidP="00106DBF">
      <w:pPr>
        <w:pStyle w:val="Paragraphedeliste"/>
        <w:numPr>
          <w:ilvl w:val="1"/>
          <w:numId w:val="17"/>
        </w:numPr>
        <w:spacing w:after="0" w:line="240" w:lineRule="auto"/>
        <w:ind w:left="1134"/>
        <w:rPr>
          <w:rFonts w:cstheme="minorHAnsi"/>
          <w:b/>
          <w:sz w:val="20"/>
          <w:szCs w:val="20"/>
        </w:rPr>
      </w:pPr>
      <w:r w:rsidRPr="00106DBF">
        <w:rPr>
          <w:rFonts w:cstheme="minorHAnsi"/>
          <w:sz w:val="20"/>
          <w:szCs w:val="20"/>
        </w:rPr>
        <w:t xml:space="preserve">Aucune référence de surface à «imprimer» </w:t>
      </w:r>
    </w:p>
    <w:p w:rsidR="00106DBF" w:rsidRPr="00106DBF" w:rsidRDefault="00106DBF" w:rsidP="00106DBF">
      <w:pPr>
        <w:pStyle w:val="Paragraphedeliste"/>
        <w:numPr>
          <w:ilvl w:val="1"/>
          <w:numId w:val="17"/>
        </w:numPr>
        <w:spacing w:after="0" w:line="240" w:lineRule="auto"/>
        <w:ind w:left="1134"/>
        <w:rPr>
          <w:rFonts w:cstheme="minorHAnsi"/>
          <w:b/>
          <w:sz w:val="20"/>
          <w:szCs w:val="20"/>
        </w:rPr>
      </w:pPr>
      <w:r w:rsidRPr="00106DBF">
        <w:rPr>
          <w:rFonts w:cstheme="minorHAnsi"/>
          <w:sz w:val="20"/>
          <w:szCs w:val="20"/>
        </w:rPr>
        <w:t>Pour une surface &lt;10 cm2 : nom de l'aliment, les allergènes possibles, la quantité nette et la date de durabilité minimale</w:t>
      </w:r>
    </w:p>
    <w:p w:rsidR="00106DBF" w:rsidRPr="00106DBF" w:rsidRDefault="00106DBF" w:rsidP="00106DBF">
      <w:pPr>
        <w:spacing w:after="0" w:line="240" w:lineRule="auto"/>
        <w:rPr>
          <w:rFonts w:cstheme="minorHAnsi"/>
          <w:sz w:val="20"/>
          <w:szCs w:val="20"/>
        </w:rPr>
      </w:pPr>
    </w:p>
    <w:p w:rsidR="00106DBF" w:rsidRPr="00106DBF" w:rsidRDefault="00106DBF" w:rsidP="00106DBF">
      <w:pPr>
        <w:pStyle w:val="Paragraphedeliste"/>
        <w:numPr>
          <w:ilvl w:val="0"/>
          <w:numId w:val="17"/>
        </w:numPr>
        <w:spacing w:after="0" w:line="240" w:lineRule="auto"/>
        <w:ind w:left="426"/>
        <w:rPr>
          <w:rFonts w:cstheme="minorHAnsi"/>
          <w:b/>
          <w:sz w:val="20"/>
          <w:szCs w:val="20"/>
        </w:rPr>
      </w:pPr>
      <w:r w:rsidRPr="00106DBF">
        <w:rPr>
          <w:rFonts w:cstheme="minorHAnsi"/>
          <w:b/>
          <w:sz w:val="20"/>
          <w:szCs w:val="20"/>
        </w:rPr>
        <w:t>Responsabilité</w:t>
      </w:r>
    </w:p>
    <w:p w:rsidR="00106DBF" w:rsidRPr="00106DBF" w:rsidRDefault="00106DBF" w:rsidP="00106DBF">
      <w:pPr>
        <w:spacing w:after="0" w:line="240" w:lineRule="auto"/>
        <w:rPr>
          <w:rFonts w:cstheme="minorHAnsi"/>
          <w:sz w:val="20"/>
          <w:szCs w:val="20"/>
        </w:rPr>
      </w:pPr>
      <w:r w:rsidRPr="00106DBF">
        <w:rPr>
          <w:rFonts w:cstheme="minorHAnsi"/>
          <w:sz w:val="20"/>
          <w:szCs w:val="20"/>
        </w:rPr>
        <w:t xml:space="preserve"> La DGCCRF en avait cette lecture : celui qui est responsable de la présence/exactitude de l’information est le fabricant (si implanté en Union Européenne), le distributeur (si MDD), si provenance d’un pays tiers c’est l’importateur. Les distributeurs ne doivent pas distribuer des produits dont ils pensent que les informations étiquetés sont fausses.</w:t>
      </w:r>
    </w:p>
    <w:p w:rsidR="00106DBF" w:rsidRPr="00106DBF" w:rsidRDefault="00106DBF" w:rsidP="00106DBF">
      <w:pPr>
        <w:spacing w:after="0" w:line="240" w:lineRule="auto"/>
        <w:rPr>
          <w:rFonts w:cstheme="minorHAnsi"/>
          <w:sz w:val="20"/>
          <w:szCs w:val="20"/>
        </w:rPr>
      </w:pPr>
    </w:p>
    <w:p w:rsidR="00106DBF" w:rsidRDefault="00106DBF" w:rsidP="00106DBF">
      <w:pPr>
        <w:pStyle w:val="Paragraphedeliste"/>
        <w:numPr>
          <w:ilvl w:val="0"/>
          <w:numId w:val="17"/>
        </w:numPr>
        <w:spacing w:after="0" w:line="240" w:lineRule="auto"/>
        <w:ind w:left="284"/>
        <w:rPr>
          <w:rFonts w:cstheme="minorHAnsi"/>
          <w:b/>
          <w:sz w:val="20"/>
          <w:szCs w:val="20"/>
        </w:rPr>
      </w:pPr>
      <w:r w:rsidRPr="00106DBF">
        <w:rPr>
          <w:rFonts w:cstheme="minorHAnsi"/>
          <w:b/>
          <w:sz w:val="20"/>
          <w:szCs w:val="20"/>
        </w:rPr>
        <w:t xml:space="preserve">Pour les denrées alimentaires non préemballées, </w:t>
      </w:r>
    </w:p>
    <w:p w:rsidR="00106DBF" w:rsidRPr="00106DBF" w:rsidRDefault="00106DBF" w:rsidP="00106DBF">
      <w:pPr>
        <w:pStyle w:val="Paragraphedeliste"/>
        <w:numPr>
          <w:ilvl w:val="1"/>
          <w:numId w:val="17"/>
        </w:numPr>
        <w:spacing w:after="0" w:line="240" w:lineRule="auto"/>
        <w:ind w:left="709"/>
        <w:rPr>
          <w:rFonts w:cstheme="minorHAnsi"/>
          <w:sz w:val="20"/>
          <w:szCs w:val="20"/>
        </w:rPr>
      </w:pPr>
      <w:r w:rsidRPr="00106DBF">
        <w:rPr>
          <w:rFonts w:cstheme="minorHAnsi"/>
          <w:sz w:val="20"/>
          <w:szCs w:val="20"/>
        </w:rPr>
        <w:t>Fourniture d'informations sur les allergènes.</w:t>
      </w:r>
    </w:p>
    <w:p w:rsidR="00106DBF" w:rsidRPr="00106DBF" w:rsidRDefault="003B03B2" w:rsidP="00106DBF">
      <w:pPr>
        <w:pStyle w:val="Paragraphedeliste"/>
        <w:numPr>
          <w:ilvl w:val="1"/>
          <w:numId w:val="17"/>
        </w:numPr>
        <w:spacing w:after="0" w:line="240" w:lineRule="auto"/>
        <w:ind w:left="709"/>
        <w:rPr>
          <w:rFonts w:cstheme="minorHAnsi"/>
          <w:sz w:val="20"/>
          <w:szCs w:val="20"/>
        </w:rPr>
      </w:pPr>
      <w:r>
        <w:rPr>
          <w:rFonts w:cstheme="minorHAnsi"/>
          <w:sz w:val="20"/>
          <w:szCs w:val="20"/>
        </w:rPr>
        <w:t>Mais</w:t>
      </w:r>
      <w:r w:rsidR="00106DBF" w:rsidRPr="00106DBF">
        <w:rPr>
          <w:rFonts w:cstheme="minorHAnsi"/>
          <w:sz w:val="20"/>
          <w:szCs w:val="20"/>
        </w:rPr>
        <w:t xml:space="preserve"> les industriels doivent pouvoir nous communiquer les autres informations obligatoires si nécessaires</w:t>
      </w:r>
    </w:p>
    <w:p w:rsidR="001D6E58" w:rsidRPr="00106DBF" w:rsidRDefault="00106DBF" w:rsidP="00106DBF">
      <w:pPr>
        <w:pStyle w:val="Paragraphedeliste"/>
        <w:numPr>
          <w:ilvl w:val="1"/>
          <w:numId w:val="17"/>
        </w:numPr>
        <w:spacing w:after="0" w:line="240" w:lineRule="auto"/>
        <w:ind w:left="709"/>
        <w:rPr>
          <w:rFonts w:cstheme="minorHAnsi"/>
          <w:sz w:val="20"/>
          <w:szCs w:val="20"/>
        </w:rPr>
      </w:pPr>
      <w:r w:rsidRPr="00106DBF">
        <w:rPr>
          <w:rFonts w:cstheme="minorHAnsi"/>
          <w:sz w:val="20"/>
          <w:szCs w:val="20"/>
        </w:rPr>
        <w:t>Et les EM pour décider d’en rajouter.</w:t>
      </w:r>
    </w:p>
    <w:p w:rsidR="00106DBF" w:rsidRPr="00106DBF" w:rsidRDefault="00106DBF" w:rsidP="00106DBF">
      <w:pPr>
        <w:pStyle w:val="Paragraphedeliste"/>
        <w:spacing w:after="0" w:line="240" w:lineRule="auto"/>
        <w:ind w:left="1440"/>
        <w:rPr>
          <w:rFonts w:cstheme="minorHAnsi"/>
          <w:b/>
          <w:sz w:val="20"/>
          <w:szCs w:val="20"/>
        </w:rPr>
      </w:pPr>
    </w:p>
    <w:p w:rsidR="00054C9B" w:rsidRPr="00106DBF" w:rsidRDefault="00DF5345" w:rsidP="00106DBF">
      <w:pPr>
        <w:pStyle w:val="Paragraphedeliste"/>
        <w:numPr>
          <w:ilvl w:val="0"/>
          <w:numId w:val="17"/>
        </w:numPr>
        <w:spacing w:after="0" w:line="240" w:lineRule="auto"/>
        <w:ind w:left="284" w:hanging="349"/>
        <w:rPr>
          <w:rFonts w:cstheme="minorHAnsi"/>
          <w:b/>
          <w:sz w:val="20"/>
          <w:szCs w:val="20"/>
        </w:rPr>
      </w:pPr>
      <w:r w:rsidRPr="00106DBF">
        <w:rPr>
          <w:rFonts w:cstheme="minorHAnsi"/>
          <w:b/>
          <w:bCs/>
          <w:sz w:val="20"/>
          <w:szCs w:val="20"/>
        </w:rPr>
        <w:t>Mentions obligatoires particulières:</w:t>
      </w:r>
      <w:r w:rsidR="0031237D" w:rsidRPr="00106DBF">
        <w:rPr>
          <w:rFonts w:cstheme="minorHAnsi"/>
          <w:b/>
          <w:bCs/>
          <w:sz w:val="20"/>
          <w:szCs w:val="20"/>
        </w:rPr>
        <w:t> «</w:t>
      </w:r>
      <w:r w:rsidRPr="00106DBF">
        <w:rPr>
          <w:rFonts w:cstheme="minorHAnsi"/>
          <w:b/>
          <w:bCs/>
          <w:sz w:val="20"/>
          <w:szCs w:val="20"/>
        </w:rPr>
        <w:t> décongelé »</w:t>
      </w:r>
    </w:p>
    <w:p w:rsidR="00054C9B" w:rsidRPr="00106DBF" w:rsidRDefault="00DF5345" w:rsidP="00106DBF">
      <w:pPr>
        <w:pStyle w:val="Paragraphedeliste"/>
        <w:numPr>
          <w:ilvl w:val="1"/>
          <w:numId w:val="17"/>
        </w:numPr>
        <w:spacing w:after="0" w:line="240" w:lineRule="auto"/>
        <w:ind w:left="709"/>
        <w:rPr>
          <w:rFonts w:cstheme="minorHAnsi"/>
          <w:sz w:val="20"/>
          <w:szCs w:val="20"/>
        </w:rPr>
      </w:pPr>
      <w:r w:rsidRPr="00106DBF">
        <w:rPr>
          <w:rFonts w:cstheme="minorHAnsi"/>
          <w:sz w:val="20"/>
          <w:szCs w:val="20"/>
        </w:rPr>
        <w:t>L’indication de la recongélation/décongélation…est obligatoire lorsque son omission pourrait induire en erreur le consommateur.</w:t>
      </w:r>
    </w:p>
    <w:p w:rsidR="00054C9B" w:rsidRPr="00106DBF" w:rsidRDefault="00DF5345" w:rsidP="00106DBF">
      <w:pPr>
        <w:pStyle w:val="Paragraphedeliste"/>
        <w:numPr>
          <w:ilvl w:val="1"/>
          <w:numId w:val="17"/>
        </w:numPr>
        <w:spacing w:after="0" w:line="240" w:lineRule="auto"/>
        <w:ind w:left="709"/>
        <w:rPr>
          <w:rFonts w:cstheme="minorHAnsi"/>
          <w:sz w:val="20"/>
          <w:szCs w:val="20"/>
        </w:rPr>
      </w:pPr>
      <w:r w:rsidRPr="00106DBF">
        <w:rPr>
          <w:rFonts w:cstheme="minorHAnsi"/>
          <w:sz w:val="20"/>
          <w:szCs w:val="20"/>
        </w:rPr>
        <w:t>Pour les aliments vendus décongelés sauf exemptions</w:t>
      </w:r>
      <w:r w:rsidR="00106DBF">
        <w:rPr>
          <w:rStyle w:val="Appeldenotedefin"/>
          <w:rFonts w:cstheme="minorHAnsi"/>
          <w:sz w:val="20"/>
          <w:szCs w:val="20"/>
        </w:rPr>
        <w:endnoteReference w:id="3"/>
      </w:r>
    </w:p>
    <w:p w:rsidR="00054C9B" w:rsidRDefault="00DF5345" w:rsidP="00106DBF">
      <w:pPr>
        <w:pStyle w:val="Paragraphedeliste"/>
        <w:numPr>
          <w:ilvl w:val="1"/>
          <w:numId w:val="17"/>
        </w:numPr>
        <w:spacing w:after="0" w:line="240" w:lineRule="auto"/>
        <w:ind w:left="709"/>
        <w:rPr>
          <w:rFonts w:cstheme="minorHAnsi"/>
          <w:sz w:val="20"/>
          <w:szCs w:val="20"/>
        </w:rPr>
      </w:pPr>
      <w:r w:rsidRPr="00106DBF">
        <w:rPr>
          <w:rFonts w:cstheme="minorHAnsi"/>
          <w:sz w:val="20"/>
          <w:szCs w:val="20"/>
        </w:rPr>
        <w:t>La date de congélation pour les viandes (+préparation) et le poisson congelé.</w:t>
      </w:r>
    </w:p>
    <w:p w:rsidR="00106DBF" w:rsidRPr="00106DBF" w:rsidRDefault="00106DBF" w:rsidP="00106DBF">
      <w:pPr>
        <w:pStyle w:val="Paragraphedeliste"/>
        <w:spacing w:after="0" w:line="240" w:lineRule="auto"/>
        <w:ind w:left="1440"/>
        <w:rPr>
          <w:rFonts w:cstheme="minorHAnsi"/>
          <w:sz w:val="20"/>
          <w:szCs w:val="20"/>
        </w:rPr>
      </w:pPr>
    </w:p>
    <w:p w:rsidR="00054C9B" w:rsidRDefault="00DF5345" w:rsidP="00106DBF">
      <w:pPr>
        <w:pStyle w:val="Paragraphedeliste"/>
        <w:numPr>
          <w:ilvl w:val="0"/>
          <w:numId w:val="17"/>
        </w:numPr>
        <w:spacing w:after="0" w:line="240" w:lineRule="auto"/>
        <w:ind w:left="284" w:hanging="349"/>
        <w:rPr>
          <w:rFonts w:cstheme="minorHAnsi"/>
          <w:sz w:val="20"/>
          <w:szCs w:val="20"/>
        </w:rPr>
      </w:pPr>
      <w:r w:rsidRPr="00106DBF">
        <w:rPr>
          <w:rFonts w:cstheme="minorHAnsi"/>
          <w:b/>
          <w:bCs/>
          <w:sz w:val="20"/>
          <w:szCs w:val="20"/>
        </w:rPr>
        <w:t xml:space="preserve">Les boissons alcoolisées </w:t>
      </w:r>
      <w:r w:rsidRPr="00106DBF">
        <w:rPr>
          <w:rFonts w:cstheme="minorHAnsi"/>
          <w:sz w:val="20"/>
          <w:szCs w:val="20"/>
        </w:rPr>
        <w:t>contenant plus de 1,2%d’alcool (y compris les alcopops)  sont exclus de la déclaration nutritionnelle et de la liste des ingrédients</w:t>
      </w:r>
    </w:p>
    <w:p w:rsidR="00106DBF" w:rsidRPr="00106DBF" w:rsidRDefault="00106DBF" w:rsidP="00106DBF">
      <w:pPr>
        <w:pStyle w:val="Paragraphedeliste"/>
        <w:spacing w:after="0" w:line="240" w:lineRule="auto"/>
        <w:ind w:left="284"/>
        <w:rPr>
          <w:rFonts w:cstheme="minorHAnsi"/>
          <w:sz w:val="20"/>
          <w:szCs w:val="20"/>
        </w:rPr>
      </w:pPr>
    </w:p>
    <w:p w:rsidR="00054C9B" w:rsidRPr="00106DBF" w:rsidRDefault="00DF5345" w:rsidP="00106DBF">
      <w:pPr>
        <w:pStyle w:val="Paragraphedeliste"/>
        <w:numPr>
          <w:ilvl w:val="0"/>
          <w:numId w:val="17"/>
        </w:numPr>
        <w:spacing w:after="0" w:line="240" w:lineRule="auto"/>
        <w:ind w:left="284" w:hanging="349"/>
        <w:rPr>
          <w:rFonts w:cstheme="minorHAnsi"/>
          <w:b/>
          <w:sz w:val="20"/>
          <w:szCs w:val="20"/>
        </w:rPr>
      </w:pPr>
      <w:r w:rsidRPr="00106DBF">
        <w:rPr>
          <w:rFonts w:cstheme="minorHAnsi"/>
          <w:b/>
          <w:bCs/>
          <w:sz w:val="20"/>
          <w:szCs w:val="20"/>
        </w:rPr>
        <w:t xml:space="preserve">AGT: </w:t>
      </w:r>
    </w:p>
    <w:p w:rsidR="00106DBF" w:rsidRPr="00106DBF" w:rsidRDefault="00DF5345" w:rsidP="00106DBF">
      <w:pPr>
        <w:pStyle w:val="Paragraphedeliste"/>
        <w:numPr>
          <w:ilvl w:val="1"/>
          <w:numId w:val="17"/>
        </w:numPr>
        <w:spacing w:after="0" w:line="240" w:lineRule="auto"/>
        <w:ind w:left="709"/>
        <w:rPr>
          <w:rFonts w:cstheme="minorHAnsi"/>
          <w:sz w:val="20"/>
          <w:szCs w:val="20"/>
        </w:rPr>
      </w:pPr>
      <w:r w:rsidRPr="00106DBF">
        <w:rPr>
          <w:rFonts w:cstheme="minorHAnsi"/>
          <w:sz w:val="20"/>
          <w:szCs w:val="20"/>
        </w:rPr>
        <w:t>CE doit faire un rapport sur l'étiquetage obligatoire ou l'interdiction des Acide gras trans dans les 3 ans.</w:t>
      </w:r>
    </w:p>
    <w:p w:rsidR="00106DBF" w:rsidRPr="00106DBF" w:rsidRDefault="00106DBF" w:rsidP="00106DBF">
      <w:pPr>
        <w:pStyle w:val="Paragraphedeliste"/>
        <w:spacing w:after="0" w:line="240" w:lineRule="auto"/>
        <w:ind w:left="284"/>
        <w:rPr>
          <w:rFonts w:cstheme="minorHAnsi"/>
          <w:b/>
          <w:sz w:val="20"/>
          <w:szCs w:val="20"/>
        </w:rPr>
      </w:pPr>
    </w:p>
    <w:p w:rsidR="00054C9B" w:rsidRPr="00106DBF" w:rsidRDefault="00DF5345" w:rsidP="00106DBF">
      <w:pPr>
        <w:pStyle w:val="Paragraphedeliste"/>
        <w:numPr>
          <w:ilvl w:val="0"/>
          <w:numId w:val="17"/>
        </w:numPr>
        <w:spacing w:after="0" w:line="240" w:lineRule="auto"/>
        <w:ind w:left="284" w:hanging="349"/>
        <w:rPr>
          <w:rFonts w:cstheme="minorHAnsi"/>
          <w:b/>
          <w:sz w:val="20"/>
          <w:szCs w:val="20"/>
        </w:rPr>
      </w:pPr>
      <w:r w:rsidRPr="00106DBF">
        <w:rPr>
          <w:rFonts w:cstheme="minorHAnsi"/>
          <w:b/>
          <w:bCs/>
          <w:sz w:val="20"/>
          <w:szCs w:val="20"/>
        </w:rPr>
        <w:t xml:space="preserve">Etiquetage obligatoire des graisses végétales </w:t>
      </w:r>
      <w:r w:rsidRPr="00106DBF">
        <w:rPr>
          <w:rFonts w:cstheme="minorHAnsi"/>
          <w:b/>
          <w:sz w:val="20"/>
          <w:szCs w:val="20"/>
        </w:rPr>
        <w:t>(</w:t>
      </w:r>
      <w:r w:rsidRPr="00106DBF">
        <w:rPr>
          <w:rFonts w:cstheme="minorHAnsi"/>
          <w:sz w:val="20"/>
          <w:szCs w:val="20"/>
        </w:rPr>
        <w:t>id est: l'huile de palme doit être déclarée)</w:t>
      </w:r>
    </w:p>
    <w:p w:rsidR="00106DBF" w:rsidRPr="00106DBF" w:rsidRDefault="00106DBF" w:rsidP="00106DBF">
      <w:pPr>
        <w:pStyle w:val="Paragraphedeliste"/>
        <w:rPr>
          <w:rFonts w:cstheme="minorHAnsi"/>
          <w:b/>
          <w:sz w:val="20"/>
          <w:szCs w:val="20"/>
        </w:rPr>
      </w:pPr>
    </w:p>
    <w:p w:rsidR="00106DBF" w:rsidRPr="00106DBF" w:rsidRDefault="00106DBF" w:rsidP="00106DBF">
      <w:pPr>
        <w:pStyle w:val="Paragraphedeliste"/>
        <w:numPr>
          <w:ilvl w:val="0"/>
          <w:numId w:val="17"/>
        </w:numPr>
        <w:spacing w:after="0" w:line="240" w:lineRule="auto"/>
        <w:ind w:left="284"/>
        <w:rPr>
          <w:rFonts w:cstheme="minorHAnsi"/>
          <w:b/>
          <w:sz w:val="20"/>
          <w:szCs w:val="20"/>
        </w:rPr>
      </w:pPr>
      <w:r w:rsidRPr="00106DBF">
        <w:rPr>
          <w:rFonts w:cstheme="minorHAnsi"/>
          <w:b/>
          <w:sz w:val="20"/>
          <w:szCs w:val="20"/>
        </w:rPr>
        <w:t>Vente à distance</w:t>
      </w:r>
    </w:p>
    <w:p w:rsidR="00106DBF" w:rsidRPr="00106DBF" w:rsidRDefault="00106DBF" w:rsidP="00106DBF">
      <w:pPr>
        <w:pStyle w:val="Paragraphedeliste"/>
        <w:numPr>
          <w:ilvl w:val="1"/>
          <w:numId w:val="17"/>
        </w:numPr>
        <w:spacing w:after="0" w:line="240" w:lineRule="auto"/>
        <w:ind w:left="851"/>
        <w:rPr>
          <w:rFonts w:cstheme="minorHAnsi"/>
          <w:sz w:val="20"/>
          <w:szCs w:val="20"/>
        </w:rPr>
      </w:pPr>
      <w:r w:rsidRPr="00106DBF">
        <w:rPr>
          <w:rFonts w:cstheme="minorHAnsi"/>
          <w:sz w:val="20"/>
          <w:szCs w:val="20"/>
        </w:rPr>
        <w:lastRenderedPageBreak/>
        <w:t>les informations obligatoires sur les denrées alimentaires, à l'exception de la date de durabilité, sont fournies avant la conclusion de l'achat et figurent sur le support de la vente à distance ou sont transmises par tout autre moyen approprié clairement précisé par l'exploitant du secteur alimentaire.</w:t>
      </w:r>
    </w:p>
    <w:p w:rsidR="00106DBF" w:rsidRPr="00106DBF" w:rsidRDefault="00106DBF" w:rsidP="00106DBF">
      <w:pPr>
        <w:pStyle w:val="Paragraphedeliste"/>
        <w:numPr>
          <w:ilvl w:val="1"/>
          <w:numId w:val="17"/>
        </w:numPr>
        <w:spacing w:after="0" w:line="240" w:lineRule="auto"/>
        <w:ind w:left="851"/>
        <w:rPr>
          <w:rFonts w:cstheme="minorHAnsi"/>
          <w:sz w:val="20"/>
          <w:szCs w:val="20"/>
        </w:rPr>
      </w:pPr>
      <w:r w:rsidRPr="00106DBF">
        <w:rPr>
          <w:rFonts w:cstheme="minorHAnsi"/>
          <w:sz w:val="20"/>
          <w:szCs w:val="20"/>
        </w:rPr>
        <w:t>Lorsque d'autres moyens appropriés sont utilisés, les informations obligatoires sur les denrées alimentaires sont fournies sans que l'exploitant du secteur alimentaire puisse imputer de frais supplémentaires aux consommateurs;</w:t>
      </w:r>
    </w:p>
    <w:p w:rsidR="00106DBF" w:rsidRDefault="00106DBF" w:rsidP="00106DBF">
      <w:pPr>
        <w:pStyle w:val="Paragraphedeliste"/>
        <w:numPr>
          <w:ilvl w:val="1"/>
          <w:numId w:val="17"/>
        </w:numPr>
        <w:spacing w:after="0" w:line="240" w:lineRule="auto"/>
        <w:ind w:left="851"/>
        <w:rPr>
          <w:rFonts w:cstheme="minorHAnsi"/>
          <w:sz w:val="20"/>
          <w:szCs w:val="20"/>
        </w:rPr>
      </w:pPr>
      <w:r w:rsidRPr="00106DBF">
        <w:rPr>
          <w:rFonts w:cstheme="minorHAnsi"/>
          <w:sz w:val="20"/>
          <w:szCs w:val="20"/>
        </w:rPr>
        <w:t>toutes les mentions obligatoires sont fournies au moment de la livraison</w:t>
      </w:r>
    </w:p>
    <w:p w:rsidR="00106DBF" w:rsidRPr="00106DBF" w:rsidRDefault="00106DBF" w:rsidP="00106DBF">
      <w:pPr>
        <w:pStyle w:val="Paragraphedeliste"/>
        <w:spacing w:after="0" w:line="240" w:lineRule="auto"/>
        <w:ind w:left="851"/>
        <w:rPr>
          <w:rFonts w:cstheme="minorHAnsi"/>
          <w:sz w:val="20"/>
          <w:szCs w:val="20"/>
        </w:rPr>
      </w:pPr>
    </w:p>
    <w:p w:rsidR="00106DBF" w:rsidRDefault="00106DBF" w:rsidP="00106DBF">
      <w:pPr>
        <w:pStyle w:val="Paragraphedeliste"/>
        <w:numPr>
          <w:ilvl w:val="0"/>
          <w:numId w:val="17"/>
        </w:numPr>
        <w:spacing w:after="0" w:line="240" w:lineRule="auto"/>
        <w:ind w:left="284" w:hanging="349"/>
        <w:rPr>
          <w:rFonts w:cstheme="minorHAnsi"/>
          <w:b/>
          <w:sz w:val="20"/>
          <w:szCs w:val="20"/>
        </w:rPr>
      </w:pPr>
      <w:r w:rsidRPr="00106DBF">
        <w:rPr>
          <w:rFonts w:cstheme="minorHAnsi"/>
          <w:b/>
          <w:bCs/>
          <w:sz w:val="20"/>
          <w:szCs w:val="20"/>
        </w:rPr>
        <w:t xml:space="preserve">Déclaration nutritionnelle obligatoire </w:t>
      </w:r>
      <w:r w:rsidRPr="00106DBF">
        <w:rPr>
          <w:rFonts w:cstheme="minorHAnsi"/>
          <w:b/>
          <w:sz w:val="20"/>
          <w:szCs w:val="20"/>
        </w:rPr>
        <w:t>dans les 5 ans après l'entrée en vigueur du règlement</w:t>
      </w:r>
    </w:p>
    <w:p w:rsidR="00106DBF" w:rsidRPr="00106DBF" w:rsidRDefault="00106DBF" w:rsidP="00106DBF">
      <w:pPr>
        <w:spacing w:after="0" w:line="240" w:lineRule="auto"/>
        <w:ind w:left="-65"/>
        <w:rPr>
          <w:rFonts w:cstheme="minorHAnsi"/>
          <w:b/>
          <w:sz w:val="20"/>
          <w:szCs w:val="20"/>
        </w:rPr>
      </w:pPr>
    </w:p>
    <w:sectPr w:rsidR="00106DBF" w:rsidRPr="00106D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88" w:rsidRDefault="00ED3A88" w:rsidP="00C50830">
      <w:pPr>
        <w:spacing w:after="0" w:line="240" w:lineRule="auto"/>
      </w:pPr>
      <w:r>
        <w:separator/>
      </w:r>
    </w:p>
  </w:endnote>
  <w:endnote w:type="continuationSeparator" w:id="0">
    <w:p w:rsidR="00ED3A88" w:rsidRDefault="00ED3A88" w:rsidP="00C50830">
      <w:pPr>
        <w:spacing w:after="0" w:line="240" w:lineRule="auto"/>
      </w:pPr>
      <w:r>
        <w:continuationSeparator/>
      </w:r>
    </w:p>
  </w:endnote>
  <w:endnote w:id="1">
    <w:p w:rsidR="001D6E58" w:rsidRPr="001D6E58" w:rsidRDefault="001D6E58" w:rsidP="001D6E58">
      <w:pPr>
        <w:pStyle w:val="Notedefin"/>
        <w:rPr>
          <w:b/>
        </w:rPr>
      </w:pPr>
      <w:r w:rsidRPr="001D6E58">
        <w:rPr>
          <w:rStyle w:val="Appeldenotedefin"/>
          <w:b/>
        </w:rPr>
        <w:endnoteRef/>
      </w:r>
      <w:r w:rsidRPr="001D6E58">
        <w:rPr>
          <w:b/>
        </w:rPr>
        <w:t xml:space="preserve"> Pour plus de détails</w:t>
      </w:r>
    </w:p>
    <w:p w:rsidR="001D6E58" w:rsidRDefault="001D6E58" w:rsidP="001D6E58">
      <w:pPr>
        <w:pStyle w:val="Notedefin"/>
      </w:pPr>
      <w:r>
        <w:t>L'indication du pays d'origine ou du lieu de provenance devrait être fournie  dans les cas où son omission serait susceptible d'induire en erreur les consommateurs sur le pays d'origine ou le lieu de provenance réel de la denrée alimentaire, en particulier si les informations jointes à la denrée ou l'étiquette dans son ensemble peuvent laisser penser que la denrée a un pays d'origine ou un lieu de provenance différent;</w:t>
      </w:r>
    </w:p>
    <w:p w:rsidR="001D6E58" w:rsidRDefault="001D6E58" w:rsidP="001D6E58">
      <w:pPr>
        <w:pStyle w:val="Notedefin"/>
      </w:pPr>
    </w:p>
    <w:p w:rsidR="001D6E58" w:rsidRDefault="001D6E58" w:rsidP="001D6E58">
      <w:pPr>
        <w:pStyle w:val="Notedefin"/>
      </w:pPr>
      <w:r>
        <w:t>Le …* au plus tard, la Commission présente des rapports au Parlement européen et au Conseil concernant l'indication obligatoire du pays d'origine ou du lieu de provenance pour:</w:t>
      </w:r>
    </w:p>
    <w:p w:rsidR="001D6E58" w:rsidRDefault="001D6E58" w:rsidP="001D6E58">
      <w:pPr>
        <w:pStyle w:val="Notedefin"/>
      </w:pPr>
      <w:r>
        <w:t>a) les types de viande autres que la viande bovine et ceux visés au paragraphe 2, point b);</w:t>
      </w:r>
    </w:p>
    <w:p w:rsidR="001D6E58" w:rsidRDefault="001D6E58" w:rsidP="001D6E58">
      <w:pPr>
        <w:pStyle w:val="Notedefin"/>
      </w:pPr>
      <w:r>
        <w:t>b) le lait;</w:t>
      </w:r>
    </w:p>
    <w:p w:rsidR="001D6E58" w:rsidRDefault="001D6E58" w:rsidP="001D6E58">
      <w:pPr>
        <w:pStyle w:val="Notedefin"/>
      </w:pPr>
      <w:r>
        <w:t>c) le lait utilisé comme ingrédient dans les produits laitiers;</w:t>
      </w:r>
    </w:p>
    <w:p w:rsidR="001D6E58" w:rsidRDefault="001D6E58" w:rsidP="001D6E58">
      <w:pPr>
        <w:pStyle w:val="Notedefin"/>
      </w:pPr>
      <w:r>
        <w:t>d) la viande utilisée comme ingrédient;</w:t>
      </w:r>
    </w:p>
    <w:p w:rsidR="001D6E58" w:rsidRDefault="001D6E58" w:rsidP="001D6E58">
      <w:pPr>
        <w:pStyle w:val="Notedefin"/>
      </w:pPr>
      <w:r>
        <w:t>e) les denrées alimentaires non transformées;</w:t>
      </w:r>
    </w:p>
    <w:p w:rsidR="001D6E58" w:rsidRDefault="001D6E58" w:rsidP="001D6E58">
      <w:pPr>
        <w:pStyle w:val="Notedefin"/>
      </w:pPr>
      <w:r>
        <w:t>f) les produits comprenant un seul ingrédient;</w:t>
      </w:r>
    </w:p>
    <w:p w:rsidR="001D6E58" w:rsidRDefault="001D6E58" w:rsidP="001D6E58">
      <w:pPr>
        <w:pStyle w:val="Notedefin"/>
      </w:pPr>
      <w:r>
        <w:t>g) les ingrédients constituant plus de 50 % d'une denrée alimentaire.</w:t>
      </w:r>
    </w:p>
    <w:p w:rsidR="001D6E58" w:rsidRDefault="001D6E58" w:rsidP="001D6E58">
      <w:pPr>
        <w:pStyle w:val="Notedefin"/>
      </w:pPr>
      <w:r>
        <w:t>+</w:t>
      </w:r>
    </w:p>
    <w:p w:rsidR="001D6E58" w:rsidRDefault="001D6E58" w:rsidP="001D6E58">
      <w:pPr>
        <w:pStyle w:val="Notedefin"/>
      </w:pPr>
      <w:r>
        <w:t>Le nom ou adresse du fabricant ne constitue pas une indication d'origine.</w:t>
      </w:r>
    </w:p>
    <w:p w:rsidR="001D6E58" w:rsidRDefault="001D6E58" w:rsidP="001D6E58">
      <w:pPr>
        <w:pStyle w:val="Notedefin"/>
      </w:pPr>
      <w:r>
        <w:t>+</w:t>
      </w:r>
    </w:p>
    <w:p w:rsidR="001D6E58" w:rsidRDefault="001D6E58" w:rsidP="001D6E58">
      <w:pPr>
        <w:pStyle w:val="Notedefin"/>
      </w:pPr>
      <w:r>
        <w:t>Les Etats membres peuvent introduire des mesures de marquage d’origine obligatoire s’ils prouvent le lien entre la qualité et l’origine. Lors de la notification de cette mesure, ils doivent prouver que la majorité des consommateurs y voit une valeur ajoutée</w:t>
      </w:r>
    </w:p>
    <w:p w:rsidR="00062368" w:rsidRDefault="00062368" w:rsidP="001D6E58">
      <w:pPr>
        <w:pStyle w:val="Notedefin"/>
      </w:pPr>
    </w:p>
  </w:endnote>
  <w:endnote w:id="2">
    <w:p w:rsidR="00062368" w:rsidRPr="00062368" w:rsidRDefault="00062368">
      <w:pPr>
        <w:pStyle w:val="Notedefin"/>
        <w:rPr>
          <w:i/>
          <w:lang w:val="en-US"/>
        </w:rPr>
      </w:pPr>
      <w:r w:rsidRPr="00062368">
        <w:rPr>
          <w:rStyle w:val="Appeldenotedefin"/>
          <w:i/>
        </w:rPr>
        <w:endnoteRef/>
      </w:r>
      <w:r w:rsidRPr="00062368">
        <w:rPr>
          <w:i/>
          <w:lang w:val="en-US"/>
        </w:rPr>
        <w:t xml:space="preserve"> To have the nutrition information partly in the principal field of vision, commonly known as 'front of pack', and partly on another side on the pack, for instance, the 'back of pack', might confuse consumers. Therefore, the nutrition declaration should be in the same field of vision. In addition, on a voluntary basis, some of the information may be repeated in the principal field of vision.</w:t>
      </w:r>
    </w:p>
  </w:endnote>
  <w:endnote w:id="3">
    <w:p w:rsidR="00106DBF" w:rsidRPr="00106DBF" w:rsidRDefault="00106DBF" w:rsidP="00106DBF">
      <w:pPr>
        <w:pStyle w:val="Notedefin"/>
        <w:rPr>
          <w:i/>
          <w:lang w:val="en-US"/>
        </w:rPr>
      </w:pPr>
      <w:r w:rsidRPr="00106DBF">
        <w:rPr>
          <w:rStyle w:val="Appeldenotedefin"/>
          <w:i/>
        </w:rPr>
        <w:endnoteRef/>
      </w:r>
      <w:r w:rsidRPr="00106DBF">
        <w:rPr>
          <w:i/>
          <w:lang w:val="en-US"/>
        </w:rPr>
        <w:t xml:space="preserve"> This requirement shall not apply to the following:</w:t>
      </w:r>
    </w:p>
    <w:p w:rsidR="00106DBF" w:rsidRPr="00106DBF" w:rsidRDefault="00106DBF" w:rsidP="00106DBF">
      <w:pPr>
        <w:pStyle w:val="Notedefin"/>
        <w:rPr>
          <w:i/>
          <w:lang w:val="en-US"/>
        </w:rPr>
      </w:pPr>
      <w:r w:rsidRPr="00106DBF">
        <w:rPr>
          <w:i/>
          <w:lang w:val="en-US"/>
        </w:rPr>
        <w:t xml:space="preserve">a) </w:t>
      </w:r>
      <w:r w:rsidRPr="00106DBF">
        <w:rPr>
          <w:i/>
          <w:lang w:val="en-US"/>
        </w:rPr>
        <w:tab/>
        <w:t>ingredients present in the final product;</w:t>
      </w:r>
    </w:p>
    <w:p w:rsidR="00106DBF" w:rsidRPr="00106DBF" w:rsidRDefault="00106DBF" w:rsidP="00106DBF">
      <w:pPr>
        <w:pStyle w:val="Notedefin"/>
        <w:rPr>
          <w:i/>
          <w:lang w:val="en-US"/>
        </w:rPr>
      </w:pPr>
      <w:r w:rsidRPr="00106DBF">
        <w:rPr>
          <w:i/>
          <w:lang w:val="en-US"/>
        </w:rPr>
        <w:t xml:space="preserve">b) </w:t>
      </w:r>
      <w:r w:rsidRPr="00106DBF">
        <w:rPr>
          <w:i/>
          <w:lang w:val="en-US"/>
        </w:rPr>
        <w:tab/>
        <w:t>foods for which freezing is a technologically necessary step of the production process;</w:t>
      </w:r>
    </w:p>
    <w:p w:rsidR="00106DBF" w:rsidRPr="00106DBF" w:rsidRDefault="00106DBF" w:rsidP="00106DBF">
      <w:pPr>
        <w:pStyle w:val="Notedefin"/>
        <w:rPr>
          <w:i/>
          <w:lang w:val="en-US"/>
        </w:rPr>
      </w:pPr>
      <w:r w:rsidRPr="00106DBF">
        <w:rPr>
          <w:i/>
          <w:lang w:val="en-US"/>
        </w:rPr>
        <w:t xml:space="preserve">c) </w:t>
      </w:r>
      <w:r w:rsidRPr="00106DBF">
        <w:rPr>
          <w:i/>
          <w:lang w:val="en-US"/>
        </w:rPr>
        <w:tab/>
        <w:t>foods for which the defrosting has no negative impact on the safety or quality of the food.</w:t>
      </w:r>
    </w:p>
    <w:p w:rsidR="00106DBF" w:rsidRPr="00106DBF" w:rsidRDefault="00106DBF" w:rsidP="00106DBF">
      <w:pPr>
        <w:pStyle w:val="Notedefin"/>
        <w:rPr>
          <w:i/>
          <w:lang w:val="en-US"/>
        </w:rPr>
      </w:pPr>
      <w:r w:rsidRPr="00106DBF">
        <w:rPr>
          <w:i/>
          <w:lang w:val="en-US"/>
        </w:rPr>
        <w:t>This point shall apply without prejudice to point 1.</w:t>
      </w:r>
    </w:p>
    <w:p w:rsidR="00106DBF" w:rsidRPr="00106DBF" w:rsidRDefault="00106DBF" w:rsidP="00106DBF">
      <w:pPr>
        <w:pStyle w:val="Notedefin"/>
        <w:rPr>
          <w:lang w:val="en-US"/>
        </w:rPr>
      </w:pPr>
      <w:r>
        <w:rPr>
          <w:i/>
          <w:lang w:val="en-US"/>
        </w:rPr>
        <w:t>T</w:t>
      </w:r>
      <w:r w:rsidRPr="00106DBF">
        <w:rPr>
          <w:i/>
          <w:lang w:val="en-US"/>
        </w:rPr>
        <w:t>he date of freezing or the date of first freezing in cases where the product has been frozen more than once, in accordance with point (2a) of Annex 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830" w:rsidRPr="00C50830" w:rsidRDefault="00C50830">
    <w:pPr>
      <w:pStyle w:val="Pieddepage"/>
      <w:rPr>
        <w:sz w:val="16"/>
        <w:szCs w:val="16"/>
      </w:rPr>
    </w:pPr>
    <w:r w:rsidRPr="00C50830">
      <w:rPr>
        <w:sz w:val="16"/>
        <w:szCs w:val="16"/>
      </w:rPr>
      <w:t xml:space="preserve">EP </w:t>
    </w:r>
    <w:r w:rsidR="003B03B2">
      <w:rPr>
        <w:sz w:val="16"/>
        <w:szCs w:val="16"/>
      </w:rPr>
      <w:t>Juin</w:t>
    </w:r>
    <w:r w:rsidRPr="00C50830">
      <w:rPr>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88" w:rsidRDefault="00ED3A88" w:rsidP="00C50830">
      <w:pPr>
        <w:spacing w:after="0" w:line="240" w:lineRule="auto"/>
      </w:pPr>
      <w:r>
        <w:separator/>
      </w:r>
    </w:p>
  </w:footnote>
  <w:footnote w:type="continuationSeparator" w:id="0">
    <w:p w:rsidR="00ED3A88" w:rsidRDefault="00ED3A88" w:rsidP="00C50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977"/>
    <w:multiLevelType w:val="hybridMultilevel"/>
    <w:tmpl w:val="4FD641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C12C14"/>
    <w:multiLevelType w:val="hybridMultilevel"/>
    <w:tmpl w:val="7EA4F1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D75E40"/>
    <w:multiLevelType w:val="hybridMultilevel"/>
    <w:tmpl w:val="05D40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681534"/>
    <w:multiLevelType w:val="hybridMultilevel"/>
    <w:tmpl w:val="05D4E1D8"/>
    <w:lvl w:ilvl="0" w:tplc="AD203FB2">
      <w:start w:val="2009"/>
      <w:numFmt w:val="bullet"/>
      <w:lvlText w:val=""/>
      <w:lvlJc w:val="left"/>
      <w:pPr>
        <w:ind w:left="1004" w:hanging="360"/>
      </w:pPr>
      <w:rPr>
        <w:rFonts w:ascii="Wingdings" w:eastAsiaTheme="minorHAnsi" w:hAnsi="Wingdings" w:cstheme="minorBidi" w:hint="default"/>
        <w:u w:val="no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44A03F2"/>
    <w:multiLevelType w:val="hybridMultilevel"/>
    <w:tmpl w:val="102CECE4"/>
    <w:lvl w:ilvl="0" w:tplc="8BFE1BA8">
      <w:start w:val="1"/>
      <w:numFmt w:val="bullet"/>
      <w:lvlText w:val=""/>
      <w:lvlJc w:val="left"/>
      <w:pPr>
        <w:tabs>
          <w:tab w:val="num" w:pos="720"/>
        </w:tabs>
        <w:ind w:left="720" w:hanging="360"/>
      </w:pPr>
      <w:rPr>
        <w:rFonts w:ascii="Wingdings 2" w:hAnsi="Wingdings 2" w:hint="default"/>
      </w:rPr>
    </w:lvl>
    <w:lvl w:ilvl="1" w:tplc="3F6222A6">
      <w:start w:val="1406"/>
      <w:numFmt w:val="bullet"/>
      <w:lvlText w:val=""/>
      <w:lvlJc w:val="left"/>
      <w:pPr>
        <w:tabs>
          <w:tab w:val="num" w:pos="1440"/>
        </w:tabs>
        <w:ind w:left="1440" w:hanging="360"/>
      </w:pPr>
      <w:rPr>
        <w:rFonts w:ascii="Wingdings 2" w:hAnsi="Wingdings 2" w:hint="default"/>
      </w:rPr>
    </w:lvl>
    <w:lvl w:ilvl="2" w:tplc="A44A58C8" w:tentative="1">
      <w:start w:val="1"/>
      <w:numFmt w:val="bullet"/>
      <w:lvlText w:val=""/>
      <w:lvlJc w:val="left"/>
      <w:pPr>
        <w:tabs>
          <w:tab w:val="num" w:pos="2160"/>
        </w:tabs>
        <w:ind w:left="2160" w:hanging="360"/>
      </w:pPr>
      <w:rPr>
        <w:rFonts w:ascii="Wingdings 2" w:hAnsi="Wingdings 2" w:hint="default"/>
      </w:rPr>
    </w:lvl>
    <w:lvl w:ilvl="3" w:tplc="5D120FEA" w:tentative="1">
      <w:start w:val="1"/>
      <w:numFmt w:val="bullet"/>
      <w:lvlText w:val=""/>
      <w:lvlJc w:val="left"/>
      <w:pPr>
        <w:tabs>
          <w:tab w:val="num" w:pos="2880"/>
        </w:tabs>
        <w:ind w:left="2880" w:hanging="360"/>
      </w:pPr>
      <w:rPr>
        <w:rFonts w:ascii="Wingdings 2" w:hAnsi="Wingdings 2" w:hint="default"/>
      </w:rPr>
    </w:lvl>
    <w:lvl w:ilvl="4" w:tplc="CD1A0F4C" w:tentative="1">
      <w:start w:val="1"/>
      <w:numFmt w:val="bullet"/>
      <w:lvlText w:val=""/>
      <w:lvlJc w:val="left"/>
      <w:pPr>
        <w:tabs>
          <w:tab w:val="num" w:pos="3600"/>
        </w:tabs>
        <w:ind w:left="3600" w:hanging="360"/>
      </w:pPr>
      <w:rPr>
        <w:rFonts w:ascii="Wingdings 2" w:hAnsi="Wingdings 2" w:hint="default"/>
      </w:rPr>
    </w:lvl>
    <w:lvl w:ilvl="5" w:tplc="395A8FB4" w:tentative="1">
      <w:start w:val="1"/>
      <w:numFmt w:val="bullet"/>
      <w:lvlText w:val=""/>
      <w:lvlJc w:val="left"/>
      <w:pPr>
        <w:tabs>
          <w:tab w:val="num" w:pos="4320"/>
        </w:tabs>
        <w:ind w:left="4320" w:hanging="360"/>
      </w:pPr>
      <w:rPr>
        <w:rFonts w:ascii="Wingdings 2" w:hAnsi="Wingdings 2" w:hint="default"/>
      </w:rPr>
    </w:lvl>
    <w:lvl w:ilvl="6" w:tplc="5C405A4C" w:tentative="1">
      <w:start w:val="1"/>
      <w:numFmt w:val="bullet"/>
      <w:lvlText w:val=""/>
      <w:lvlJc w:val="left"/>
      <w:pPr>
        <w:tabs>
          <w:tab w:val="num" w:pos="5040"/>
        </w:tabs>
        <w:ind w:left="5040" w:hanging="360"/>
      </w:pPr>
      <w:rPr>
        <w:rFonts w:ascii="Wingdings 2" w:hAnsi="Wingdings 2" w:hint="default"/>
      </w:rPr>
    </w:lvl>
    <w:lvl w:ilvl="7" w:tplc="826E4130" w:tentative="1">
      <w:start w:val="1"/>
      <w:numFmt w:val="bullet"/>
      <w:lvlText w:val=""/>
      <w:lvlJc w:val="left"/>
      <w:pPr>
        <w:tabs>
          <w:tab w:val="num" w:pos="5760"/>
        </w:tabs>
        <w:ind w:left="5760" w:hanging="360"/>
      </w:pPr>
      <w:rPr>
        <w:rFonts w:ascii="Wingdings 2" w:hAnsi="Wingdings 2" w:hint="default"/>
      </w:rPr>
    </w:lvl>
    <w:lvl w:ilvl="8" w:tplc="3A5EA7A8" w:tentative="1">
      <w:start w:val="1"/>
      <w:numFmt w:val="bullet"/>
      <w:lvlText w:val=""/>
      <w:lvlJc w:val="left"/>
      <w:pPr>
        <w:tabs>
          <w:tab w:val="num" w:pos="6480"/>
        </w:tabs>
        <w:ind w:left="6480" w:hanging="360"/>
      </w:pPr>
      <w:rPr>
        <w:rFonts w:ascii="Wingdings 2" w:hAnsi="Wingdings 2" w:hint="default"/>
      </w:rPr>
    </w:lvl>
  </w:abstractNum>
  <w:abstractNum w:abstractNumId="5">
    <w:nsid w:val="1DCA0E1E"/>
    <w:multiLevelType w:val="hybridMultilevel"/>
    <w:tmpl w:val="9014D632"/>
    <w:lvl w:ilvl="0" w:tplc="D2360A8E">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C64D4"/>
    <w:multiLevelType w:val="hybridMultilevel"/>
    <w:tmpl w:val="F6385A8E"/>
    <w:lvl w:ilvl="0" w:tplc="02F4B4DC">
      <w:start w:val="1"/>
      <w:numFmt w:val="bullet"/>
      <w:lvlText w:val=""/>
      <w:lvlJc w:val="left"/>
      <w:pPr>
        <w:tabs>
          <w:tab w:val="num" w:pos="587"/>
        </w:tabs>
        <w:ind w:left="644" w:hanging="284"/>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3922D6"/>
    <w:multiLevelType w:val="hybridMultilevel"/>
    <w:tmpl w:val="34F620D4"/>
    <w:lvl w:ilvl="0" w:tplc="C49E782A">
      <w:start w:val="1"/>
      <w:numFmt w:val="bullet"/>
      <w:lvlText w:val=""/>
      <w:lvlJc w:val="left"/>
      <w:pPr>
        <w:tabs>
          <w:tab w:val="num" w:pos="720"/>
        </w:tabs>
        <w:ind w:left="720" w:hanging="360"/>
      </w:pPr>
      <w:rPr>
        <w:rFonts w:ascii="Wingdings 2" w:hAnsi="Wingdings 2" w:hint="default"/>
      </w:rPr>
    </w:lvl>
    <w:lvl w:ilvl="1" w:tplc="45900BA0">
      <w:start w:val="970"/>
      <w:numFmt w:val="bullet"/>
      <w:lvlText w:val=""/>
      <w:lvlJc w:val="left"/>
      <w:pPr>
        <w:tabs>
          <w:tab w:val="num" w:pos="1440"/>
        </w:tabs>
        <w:ind w:left="1440" w:hanging="360"/>
      </w:pPr>
      <w:rPr>
        <w:rFonts w:ascii="Wingdings 2" w:hAnsi="Wingdings 2" w:hint="default"/>
      </w:rPr>
    </w:lvl>
    <w:lvl w:ilvl="2" w:tplc="403EEFA4">
      <w:start w:val="970"/>
      <w:numFmt w:val="bullet"/>
      <w:lvlText w:val=""/>
      <w:lvlJc w:val="left"/>
      <w:pPr>
        <w:tabs>
          <w:tab w:val="num" w:pos="2160"/>
        </w:tabs>
        <w:ind w:left="2160" w:hanging="360"/>
      </w:pPr>
      <w:rPr>
        <w:rFonts w:ascii="Wingdings 2" w:hAnsi="Wingdings 2" w:hint="default"/>
      </w:rPr>
    </w:lvl>
    <w:lvl w:ilvl="3" w:tplc="0CDEEDB4" w:tentative="1">
      <w:start w:val="1"/>
      <w:numFmt w:val="bullet"/>
      <w:lvlText w:val=""/>
      <w:lvlJc w:val="left"/>
      <w:pPr>
        <w:tabs>
          <w:tab w:val="num" w:pos="2880"/>
        </w:tabs>
        <w:ind w:left="2880" w:hanging="360"/>
      </w:pPr>
      <w:rPr>
        <w:rFonts w:ascii="Wingdings 2" w:hAnsi="Wingdings 2" w:hint="default"/>
      </w:rPr>
    </w:lvl>
    <w:lvl w:ilvl="4" w:tplc="C944F16A" w:tentative="1">
      <w:start w:val="1"/>
      <w:numFmt w:val="bullet"/>
      <w:lvlText w:val=""/>
      <w:lvlJc w:val="left"/>
      <w:pPr>
        <w:tabs>
          <w:tab w:val="num" w:pos="3600"/>
        </w:tabs>
        <w:ind w:left="3600" w:hanging="360"/>
      </w:pPr>
      <w:rPr>
        <w:rFonts w:ascii="Wingdings 2" w:hAnsi="Wingdings 2" w:hint="default"/>
      </w:rPr>
    </w:lvl>
    <w:lvl w:ilvl="5" w:tplc="24589050" w:tentative="1">
      <w:start w:val="1"/>
      <w:numFmt w:val="bullet"/>
      <w:lvlText w:val=""/>
      <w:lvlJc w:val="left"/>
      <w:pPr>
        <w:tabs>
          <w:tab w:val="num" w:pos="4320"/>
        </w:tabs>
        <w:ind w:left="4320" w:hanging="360"/>
      </w:pPr>
      <w:rPr>
        <w:rFonts w:ascii="Wingdings 2" w:hAnsi="Wingdings 2" w:hint="default"/>
      </w:rPr>
    </w:lvl>
    <w:lvl w:ilvl="6" w:tplc="DAC44C4A" w:tentative="1">
      <w:start w:val="1"/>
      <w:numFmt w:val="bullet"/>
      <w:lvlText w:val=""/>
      <w:lvlJc w:val="left"/>
      <w:pPr>
        <w:tabs>
          <w:tab w:val="num" w:pos="5040"/>
        </w:tabs>
        <w:ind w:left="5040" w:hanging="360"/>
      </w:pPr>
      <w:rPr>
        <w:rFonts w:ascii="Wingdings 2" w:hAnsi="Wingdings 2" w:hint="default"/>
      </w:rPr>
    </w:lvl>
    <w:lvl w:ilvl="7" w:tplc="1BAE31AA" w:tentative="1">
      <w:start w:val="1"/>
      <w:numFmt w:val="bullet"/>
      <w:lvlText w:val=""/>
      <w:lvlJc w:val="left"/>
      <w:pPr>
        <w:tabs>
          <w:tab w:val="num" w:pos="5760"/>
        </w:tabs>
        <w:ind w:left="5760" w:hanging="360"/>
      </w:pPr>
      <w:rPr>
        <w:rFonts w:ascii="Wingdings 2" w:hAnsi="Wingdings 2" w:hint="default"/>
      </w:rPr>
    </w:lvl>
    <w:lvl w:ilvl="8" w:tplc="948E9612" w:tentative="1">
      <w:start w:val="1"/>
      <w:numFmt w:val="bullet"/>
      <w:lvlText w:val=""/>
      <w:lvlJc w:val="left"/>
      <w:pPr>
        <w:tabs>
          <w:tab w:val="num" w:pos="6480"/>
        </w:tabs>
        <w:ind w:left="6480" w:hanging="360"/>
      </w:pPr>
      <w:rPr>
        <w:rFonts w:ascii="Wingdings 2" w:hAnsi="Wingdings 2" w:hint="default"/>
      </w:rPr>
    </w:lvl>
  </w:abstractNum>
  <w:abstractNum w:abstractNumId="8">
    <w:nsid w:val="29D03B0E"/>
    <w:multiLevelType w:val="hybridMultilevel"/>
    <w:tmpl w:val="0EECDB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C00E53"/>
    <w:multiLevelType w:val="hybridMultilevel"/>
    <w:tmpl w:val="5CBCF648"/>
    <w:lvl w:ilvl="0" w:tplc="D048F72E">
      <w:start w:val="1"/>
      <w:numFmt w:val="bullet"/>
      <w:lvlText w:val=""/>
      <w:lvlJc w:val="left"/>
      <w:pPr>
        <w:tabs>
          <w:tab w:val="num" w:pos="360"/>
        </w:tabs>
        <w:ind w:left="360" w:hanging="360"/>
      </w:pPr>
      <w:rPr>
        <w:rFonts w:ascii="Wingdings 2" w:hAnsi="Wingdings 2" w:hint="default"/>
      </w:rPr>
    </w:lvl>
    <w:lvl w:ilvl="1" w:tplc="4A88B11C">
      <w:start w:val="1490"/>
      <w:numFmt w:val="bullet"/>
      <w:lvlText w:val=""/>
      <w:lvlJc w:val="left"/>
      <w:pPr>
        <w:tabs>
          <w:tab w:val="num" w:pos="1080"/>
        </w:tabs>
        <w:ind w:left="1080" w:hanging="360"/>
      </w:pPr>
      <w:rPr>
        <w:rFonts w:ascii="Wingdings 2" w:hAnsi="Wingdings 2" w:hint="default"/>
      </w:rPr>
    </w:lvl>
    <w:lvl w:ilvl="2" w:tplc="315E38E8" w:tentative="1">
      <w:start w:val="1"/>
      <w:numFmt w:val="bullet"/>
      <w:lvlText w:val=""/>
      <w:lvlJc w:val="left"/>
      <w:pPr>
        <w:tabs>
          <w:tab w:val="num" w:pos="1800"/>
        </w:tabs>
        <w:ind w:left="1800" w:hanging="360"/>
      </w:pPr>
      <w:rPr>
        <w:rFonts w:ascii="Wingdings 2" w:hAnsi="Wingdings 2" w:hint="default"/>
      </w:rPr>
    </w:lvl>
    <w:lvl w:ilvl="3" w:tplc="6AA22BC6" w:tentative="1">
      <w:start w:val="1"/>
      <w:numFmt w:val="bullet"/>
      <w:lvlText w:val=""/>
      <w:lvlJc w:val="left"/>
      <w:pPr>
        <w:tabs>
          <w:tab w:val="num" w:pos="2520"/>
        </w:tabs>
        <w:ind w:left="2520" w:hanging="360"/>
      </w:pPr>
      <w:rPr>
        <w:rFonts w:ascii="Wingdings 2" w:hAnsi="Wingdings 2" w:hint="default"/>
      </w:rPr>
    </w:lvl>
    <w:lvl w:ilvl="4" w:tplc="CCFC5852" w:tentative="1">
      <w:start w:val="1"/>
      <w:numFmt w:val="bullet"/>
      <w:lvlText w:val=""/>
      <w:lvlJc w:val="left"/>
      <w:pPr>
        <w:tabs>
          <w:tab w:val="num" w:pos="3240"/>
        </w:tabs>
        <w:ind w:left="3240" w:hanging="360"/>
      </w:pPr>
      <w:rPr>
        <w:rFonts w:ascii="Wingdings 2" w:hAnsi="Wingdings 2" w:hint="default"/>
      </w:rPr>
    </w:lvl>
    <w:lvl w:ilvl="5" w:tplc="A6CE95D4" w:tentative="1">
      <w:start w:val="1"/>
      <w:numFmt w:val="bullet"/>
      <w:lvlText w:val=""/>
      <w:lvlJc w:val="left"/>
      <w:pPr>
        <w:tabs>
          <w:tab w:val="num" w:pos="3960"/>
        </w:tabs>
        <w:ind w:left="3960" w:hanging="360"/>
      </w:pPr>
      <w:rPr>
        <w:rFonts w:ascii="Wingdings 2" w:hAnsi="Wingdings 2" w:hint="default"/>
      </w:rPr>
    </w:lvl>
    <w:lvl w:ilvl="6" w:tplc="7B54BBDC" w:tentative="1">
      <w:start w:val="1"/>
      <w:numFmt w:val="bullet"/>
      <w:lvlText w:val=""/>
      <w:lvlJc w:val="left"/>
      <w:pPr>
        <w:tabs>
          <w:tab w:val="num" w:pos="4680"/>
        </w:tabs>
        <w:ind w:left="4680" w:hanging="360"/>
      </w:pPr>
      <w:rPr>
        <w:rFonts w:ascii="Wingdings 2" w:hAnsi="Wingdings 2" w:hint="default"/>
      </w:rPr>
    </w:lvl>
    <w:lvl w:ilvl="7" w:tplc="96D28D50" w:tentative="1">
      <w:start w:val="1"/>
      <w:numFmt w:val="bullet"/>
      <w:lvlText w:val=""/>
      <w:lvlJc w:val="left"/>
      <w:pPr>
        <w:tabs>
          <w:tab w:val="num" w:pos="5400"/>
        </w:tabs>
        <w:ind w:left="5400" w:hanging="360"/>
      </w:pPr>
      <w:rPr>
        <w:rFonts w:ascii="Wingdings 2" w:hAnsi="Wingdings 2" w:hint="default"/>
      </w:rPr>
    </w:lvl>
    <w:lvl w:ilvl="8" w:tplc="BBFC3E84" w:tentative="1">
      <w:start w:val="1"/>
      <w:numFmt w:val="bullet"/>
      <w:lvlText w:val=""/>
      <w:lvlJc w:val="left"/>
      <w:pPr>
        <w:tabs>
          <w:tab w:val="num" w:pos="6120"/>
        </w:tabs>
        <w:ind w:left="6120" w:hanging="360"/>
      </w:pPr>
      <w:rPr>
        <w:rFonts w:ascii="Wingdings 2" w:hAnsi="Wingdings 2" w:hint="default"/>
      </w:rPr>
    </w:lvl>
  </w:abstractNum>
  <w:abstractNum w:abstractNumId="10">
    <w:nsid w:val="2F1908E6"/>
    <w:multiLevelType w:val="hybridMultilevel"/>
    <w:tmpl w:val="C8BA1634"/>
    <w:lvl w:ilvl="0" w:tplc="1482178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30D35C42"/>
    <w:multiLevelType w:val="hybridMultilevel"/>
    <w:tmpl w:val="4F6A2932"/>
    <w:lvl w:ilvl="0" w:tplc="D2360A8E">
      <w:start w:val="20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EA4F7C"/>
    <w:multiLevelType w:val="hybridMultilevel"/>
    <w:tmpl w:val="B6568838"/>
    <w:lvl w:ilvl="0" w:tplc="64B4CDC0">
      <w:start w:val="200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AB43F0"/>
    <w:multiLevelType w:val="hybridMultilevel"/>
    <w:tmpl w:val="DEBA3608"/>
    <w:lvl w:ilvl="0" w:tplc="D2360A8E">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511913"/>
    <w:multiLevelType w:val="hybridMultilevel"/>
    <w:tmpl w:val="32FEA97A"/>
    <w:lvl w:ilvl="0" w:tplc="D2360A8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DE2B72"/>
    <w:multiLevelType w:val="hybridMultilevel"/>
    <w:tmpl w:val="BE78B2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4F1E24"/>
    <w:multiLevelType w:val="hybridMultilevel"/>
    <w:tmpl w:val="4B6A8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nsid w:val="70D85ED4"/>
    <w:multiLevelType w:val="hybridMultilevel"/>
    <w:tmpl w:val="3E1C2F1C"/>
    <w:lvl w:ilvl="0" w:tplc="1CD81440">
      <w:start w:val="200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1C7CA1"/>
    <w:multiLevelType w:val="hybridMultilevel"/>
    <w:tmpl w:val="E342098A"/>
    <w:lvl w:ilvl="0" w:tplc="274AA09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71966872"/>
    <w:multiLevelType w:val="hybridMultilevel"/>
    <w:tmpl w:val="7876C05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4843CFF"/>
    <w:multiLevelType w:val="hybridMultilevel"/>
    <w:tmpl w:val="755E0E8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67D63D7"/>
    <w:multiLevelType w:val="hybridMultilevel"/>
    <w:tmpl w:val="FF3AF0C8"/>
    <w:lvl w:ilvl="0" w:tplc="880E1A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EF2C63"/>
    <w:multiLevelType w:val="hybridMultilevel"/>
    <w:tmpl w:val="480C8252"/>
    <w:lvl w:ilvl="0" w:tplc="EED88ABE">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6"/>
  </w:num>
  <w:num w:numId="4">
    <w:abstractNumId w:val="3"/>
  </w:num>
  <w:num w:numId="5">
    <w:abstractNumId w:val="20"/>
  </w:num>
  <w:num w:numId="6">
    <w:abstractNumId w:val="19"/>
  </w:num>
  <w:num w:numId="7">
    <w:abstractNumId w:val="12"/>
  </w:num>
  <w:num w:numId="8">
    <w:abstractNumId w:val="17"/>
  </w:num>
  <w:num w:numId="9">
    <w:abstractNumId w:val="22"/>
  </w:num>
  <w:num w:numId="10">
    <w:abstractNumId w:val="10"/>
  </w:num>
  <w:num w:numId="11">
    <w:abstractNumId w:val="18"/>
  </w:num>
  <w:num w:numId="12">
    <w:abstractNumId w:val="13"/>
  </w:num>
  <w:num w:numId="13">
    <w:abstractNumId w:val="14"/>
  </w:num>
  <w:num w:numId="14">
    <w:abstractNumId w:val="5"/>
  </w:num>
  <w:num w:numId="15">
    <w:abstractNumId w:val="11"/>
  </w:num>
  <w:num w:numId="16">
    <w:abstractNumId w:val="4"/>
  </w:num>
  <w:num w:numId="17">
    <w:abstractNumId w:val="8"/>
  </w:num>
  <w:num w:numId="18">
    <w:abstractNumId w:val="7"/>
  </w:num>
  <w:num w:numId="19">
    <w:abstractNumId w:val="0"/>
  </w:num>
  <w:num w:numId="20">
    <w:abstractNumId w:val="1"/>
  </w:num>
  <w:num w:numId="21">
    <w:abstractNumId w:val="9"/>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FB"/>
    <w:rsid w:val="00054C9B"/>
    <w:rsid w:val="00062368"/>
    <w:rsid w:val="0007498F"/>
    <w:rsid w:val="000C047D"/>
    <w:rsid w:val="000E6DE6"/>
    <w:rsid w:val="00106DBF"/>
    <w:rsid w:val="00161315"/>
    <w:rsid w:val="001D6E58"/>
    <w:rsid w:val="0029477A"/>
    <w:rsid w:val="002A6D94"/>
    <w:rsid w:val="002B328C"/>
    <w:rsid w:val="0031237D"/>
    <w:rsid w:val="00321A26"/>
    <w:rsid w:val="003B03B2"/>
    <w:rsid w:val="003F4987"/>
    <w:rsid w:val="004F3998"/>
    <w:rsid w:val="005424D4"/>
    <w:rsid w:val="00660728"/>
    <w:rsid w:val="006907F5"/>
    <w:rsid w:val="00731BE5"/>
    <w:rsid w:val="007A5CEF"/>
    <w:rsid w:val="007C1CE3"/>
    <w:rsid w:val="007D1B01"/>
    <w:rsid w:val="00831D36"/>
    <w:rsid w:val="00867C78"/>
    <w:rsid w:val="009338FB"/>
    <w:rsid w:val="00A00B4A"/>
    <w:rsid w:val="00A6551A"/>
    <w:rsid w:val="00AA1DB1"/>
    <w:rsid w:val="00AF2F78"/>
    <w:rsid w:val="00AF77DD"/>
    <w:rsid w:val="00B03A3B"/>
    <w:rsid w:val="00B94BD6"/>
    <w:rsid w:val="00BE2D04"/>
    <w:rsid w:val="00C036A0"/>
    <w:rsid w:val="00C43805"/>
    <w:rsid w:val="00C50830"/>
    <w:rsid w:val="00C86E9B"/>
    <w:rsid w:val="00C9320B"/>
    <w:rsid w:val="00D16E5C"/>
    <w:rsid w:val="00D24BBF"/>
    <w:rsid w:val="00DB7023"/>
    <w:rsid w:val="00DF5345"/>
    <w:rsid w:val="00E33252"/>
    <w:rsid w:val="00EC215C"/>
    <w:rsid w:val="00ED3A88"/>
    <w:rsid w:val="00EF665C"/>
    <w:rsid w:val="00F1060B"/>
    <w:rsid w:val="00F11C5B"/>
    <w:rsid w:val="00F37340"/>
    <w:rsid w:val="00F56C02"/>
    <w:rsid w:val="00FA58CD"/>
    <w:rsid w:val="00FD2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F"/>
  </w:style>
  <w:style w:type="paragraph" w:styleId="Titre1">
    <w:name w:val="heading 1"/>
    <w:basedOn w:val="Normal"/>
    <w:next w:val="Normal"/>
    <w:link w:val="Titre1Car"/>
    <w:uiPriority w:val="9"/>
    <w:qFormat/>
    <w:rsid w:val="003B0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B0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3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8FB"/>
    <w:rPr>
      <w:rFonts w:ascii="Tahoma" w:hAnsi="Tahoma" w:cs="Tahoma"/>
      <w:sz w:val="16"/>
      <w:szCs w:val="16"/>
    </w:rPr>
  </w:style>
  <w:style w:type="paragraph" w:styleId="Paragraphedeliste">
    <w:name w:val="List Paragraph"/>
    <w:basedOn w:val="Normal"/>
    <w:uiPriority w:val="34"/>
    <w:qFormat/>
    <w:rsid w:val="009338FB"/>
    <w:pPr>
      <w:ind w:left="720"/>
      <w:contextualSpacing/>
    </w:pPr>
  </w:style>
  <w:style w:type="paragraph" w:styleId="En-tte">
    <w:name w:val="header"/>
    <w:basedOn w:val="Normal"/>
    <w:link w:val="En-tteCar"/>
    <w:uiPriority w:val="99"/>
    <w:unhideWhenUsed/>
    <w:rsid w:val="00C50830"/>
    <w:pPr>
      <w:tabs>
        <w:tab w:val="center" w:pos="4536"/>
        <w:tab w:val="right" w:pos="9072"/>
      </w:tabs>
      <w:spacing w:after="0" w:line="240" w:lineRule="auto"/>
    </w:pPr>
  </w:style>
  <w:style w:type="character" w:customStyle="1" w:styleId="En-tteCar">
    <w:name w:val="En-tête Car"/>
    <w:basedOn w:val="Policepardfaut"/>
    <w:link w:val="En-tte"/>
    <w:uiPriority w:val="99"/>
    <w:rsid w:val="00C50830"/>
  </w:style>
  <w:style w:type="paragraph" w:styleId="Pieddepage">
    <w:name w:val="footer"/>
    <w:basedOn w:val="Normal"/>
    <w:link w:val="PieddepageCar"/>
    <w:uiPriority w:val="99"/>
    <w:unhideWhenUsed/>
    <w:rsid w:val="00C50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830"/>
  </w:style>
  <w:style w:type="paragraph" w:styleId="Notedebasdepage">
    <w:name w:val="footnote text"/>
    <w:basedOn w:val="Normal"/>
    <w:link w:val="NotedebasdepageCar"/>
    <w:semiHidden/>
    <w:rsid w:val="00D16E5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16E5C"/>
    <w:rPr>
      <w:rFonts w:ascii="Times New Roman" w:eastAsia="Times New Roman" w:hAnsi="Times New Roman" w:cs="Times New Roman"/>
      <w:sz w:val="20"/>
      <w:szCs w:val="20"/>
      <w:lang w:eastAsia="fr-FR"/>
    </w:rPr>
  </w:style>
  <w:style w:type="character" w:styleId="Appelnotedebasdep">
    <w:name w:val="footnote reference"/>
    <w:uiPriority w:val="99"/>
    <w:semiHidden/>
    <w:rsid w:val="00D16E5C"/>
    <w:rPr>
      <w:vertAlign w:val="superscript"/>
    </w:rPr>
  </w:style>
  <w:style w:type="paragraph" w:styleId="NormalWeb">
    <w:name w:val="Normal (Web)"/>
    <w:basedOn w:val="Normal"/>
    <w:rsid w:val="00AA1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907F5"/>
    <w:rPr>
      <w:color w:val="0000FF" w:themeColor="hyperlink"/>
      <w:u w:val="single"/>
    </w:rPr>
  </w:style>
  <w:style w:type="paragraph" w:styleId="Notedefin">
    <w:name w:val="endnote text"/>
    <w:basedOn w:val="Normal"/>
    <w:link w:val="NotedefinCar"/>
    <w:uiPriority w:val="99"/>
    <w:semiHidden/>
    <w:unhideWhenUsed/>
    <w:rsid w:val="001D6E58"/>
    <w:pPr>
      <w:spacing w:after="0" w:line="240" w:lineRule="auto"/>
    </w:pPr>
    <w:rPr>
      <w:sz w:val="20"/>
      <w:szCs w:val="20"/>
    </w:rPr>
  </w:style>
  <w:style w:type="character" w:customStyle="1" w:styleId="NotedefinCar">
    <w:name w:val="Note de fin Car"/>
    <w:basedOn w:val="Policepardfaut"/>
    <w:link w:val="Notedefin"/>
    <w:uiPriority w:val="99"/>
    <w:semiHidden/>
    <w:rsid w:val="001D6E58"/>
    <w:rPr>
      <w:sz w:val="20"/>
      <w:szCs w:val="20"/>
    </w:rPr>
  </w:style>
  <w:style w:type="character" w:styleId="Appeldenotedefin">
    <w:name w:val="endnote reference"/>
    <w:basedOn w:val="Policepardfaut"/>
    <w:uiPriority w:val="99"/>
    <w:semiHidden/>
    <w:unhideWhenUsed/>
    <w:rsid w:val="001D6E58"/>
    <w:rPr>
      <w:vertAlign w:val="superscript"/>
    </w:rPr>
  </w:style>
  <w:style w:type="character" w:customStyle="1" w:styleId="Titre1Car">
    <w:name w:val="Titre 1 Car"/>
    <w:basedOn w:val="Policepardfaut"/>
    <w:link w:val="Titre1"/>
    <w:uiPriority w:val="9"/>
    <w:rsid w:val="003B03B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B03B2"/>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3B0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03B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F"/>
  </w:style>
  <w:style w:type="paragraph" w:styleId="Titre1">
    <w:name w:val="heading 1"/>
    <w:basedOn w:val="Normal"/>
    <w:next w:val="Normal"/>
    <w:link w:val="Titre1Car"/>
    <w:uiPriority w:val="9"/>
    <w:qFormat/>
    <w:rsid w:val="003B0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B0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3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8FB"/>
    <w:rPr>
      <w:rFonts w:ascii="Tahoma" w:hAnsi="Tahoma" w:cs="Tahoma"/>
      <w:sz w:val="16"/>
      <w:szCs w:val="16"/>
    </w:rPr>
  </w:style>
  <w:style w:type="paragraph" w:styleId="Paragraphedeliste">
    <w:name w:val="List Paragraph"/>
    <w:basedOn w:val="Normal"/>
    <w:uiPriority w:val="34"/>
    <w:qFormat/>
    <w:rsid w:val="009338FB"/>
    <w:pPr>
      <w:ind w:left="720"/>
      <w:contextualSpacing/>
    </w:pPr>
  </w:style>
  <w:style w:type="paragraph" w:styleId="En-tte">
    <w:name w:val="header"/>
    <w:basedOn w:val="Normal"/>
    <w:link w:val="En-tteCar"/>
    <w:uiPriority w:val="99"/>
    <w:unhideWhenUsed/>
    <w:rsid w:val="00C50830"/>
    <w:pPr>
      <w:tabs>
        <w:tab w:val="center" w:pos="4536"/>
        <w:tab w:val="right" w:pos="9072"/>
      </w:tabs>
      <w:spacing w:after="0" w:line="240" w:lineRule="auto"/>
    </w:pPr>
  </w:style>
  <w:style w:type="character" w:customStyle="1" w:styleId="En-tteCar">
    <w:name w:val="En-tête Car"/>
    <w:basedOn w:val="Policepardfaut"/>
    <w:link w:val="En-tte"/>
    <w:uiPriority w:val="99"/>
    <w:rsid w:val="00C50830"/>
  </w:style>
  <w:style w:type="paragraph" w:styleId="Pieddepage">
    <w:name w:val="footer"/>
    <w:basedOn w:val="Normal"/>
    <w:link w:val="PieddepageCar"/>
    <w:uiPriority w:val="99"/>
    <w:unhideWhenUsed/>
    <w:rsid w:val="00C50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830"/>
  </w:style>
  <w:style w:type="paragraph" w:styleId="Notedebasdepage">
    <w:name w:val="footnote text"/>
    <w:basedOn w:val="Normal"/>
    <w:link w:val="NotedebasdepageCar"/>
    <w:semiHidden/>
    <w:rsid w:val="00D16E5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16E5C"/>
    <w:rPr>
      <w:rFonts w:ascii="Times New Roman" w:eastAsia="Times New Roman" w:hAnsi="Times New Roman" w:cs="Times New Roman"/>
      <w:sz w:val="20"/>
      <w:szCs w:val="20"/>
      <w:lang w:eastAsia="fr-FR"/>
    </w:rPr>
  </w:style>
  <w:style w:type="character" w:styleId="Appelnotedebasdep">
    <w:name w:val="footnote reference"/>
    <w:uiPriority w:val="99"/>
    <w:semiHidden/>
    <w:rsid w:val="00D16E5C"/>
    <w:rPr>
      <w:vertAlign w:val="superscript"/>
    </w:rPr>
  </w:style>
  <w:style w:type="paragraph" w:styleId="NormalWeb">
    <w:name w:val="Normal (Web)"/>
    <w:basedOn w:val="Normal"/>
    <w:rsid w:val="00AA1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907F5"/>
    <w:rPr>
      <w:color w:val="0000FF" w:themeColor="hyperlink"/>
      <w:u w:val="single"/>
    </w:rPr>
  </w:style>
  <w:style w:type="paragraph" w:styleId="Notedefin">
    <w:name w:val="endnote text"/>
    <w:basedOn w:val="Normal"/>
    <w:link w:val="NotedefinCar"/>
    <w:uiPriority w:val="99"/>
    <w:semiHidden/>
    <w:unhideWhenUsed/>
    <w:rsid w:val="001D6E58"/>
    <w:pPr>
      <w:spacing w:after="0" w:line="240" w:lineRule="auto"/>
    </w:pPr>
    <w:rPr>
      <w:sz w:val="20"/>
      <w:szCs w:val="20"/>
    </w:rPr>
  </w:style>
  <w:style w:type="character" w:customStyle="1" w:styleId="NotedefinCar">
    <w:name w:val="Note de fin Car"/>
    <w:basedOn w:val="Policepardfaut"/>
    <w:link w:val="Notedefin"/>
    <w:uiPriority w:val="99"/>
    <w:semiHidden/>
    <w:rsid w:val="001D6E58"/>
    <w:rPr>
      <w:sz w:val="20"/>
      <w:szCs w:val="20"/>
    </w:rPr>
  </w:style>
  <w:style w:type="character" w:styleId="Appeldenotedefin">
    <w:name w:val="endnote reference"/>
    <w:basedOn w:val="Policepardfaut"/>
    <w:uiPriority w:val="99"/>
    <w:semiHidden/>
    <w:unhideWhenUsed/>
    <w:rsid w:val="001D6E58"/>
    <w:rPr>
      <w:vertAlign w:val="superscript"/>
    </w:rPr>
  </w:style>
  <w:style w:type="character" w:customStyle="1" w:styleId="Titre1Car">
    <w:name w:val="Titre 1 Car"/>
    <w:basedOn w:val="Policepardfaut"/>
    <w:link w:val="Titre1"/>
    <w:uiPriority w:val="9"/>
    <w:rsid w:val="003B03B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B03B2"/>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3B0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03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01249">
      <w:bodyDiv w:val="1"/>
      <w:marLeft w:val="0"/>
      <w:marRight w:val="0"/>
      <w:marTop w:val="0"/>
      <w:marBottom w:val="0"/>
      <w:divBdr>
        <w:top w:val="none" w:sz="0" w:space="0" w:color="auto"/>
        <w:left w:val="none" w:sz="0" w:space="0" w:color="auto"/>
        <w:bottom w:val="none" w:sz="0" w:space="0" w:color="auto"/>
        <w:right w:val="none" w:sz="0" w:space="0" w:color="auto"/>
      </w:divBdr>
    </w:div>
    <w:div w:id="596523234">
      <w:bodyDiv w:val="1"/>
      <w:marLeft w:val="0"/>
      <w:marRight w:val="0"/>
      <w:marTop w:val="0"/>
      <w:marBottom w:val="0"/>
      <w:divBdr>
        <w:top w:val="none" w:sz="0" w:space="0" w:color="auto"/>
        <w:left w:val="none" w:sz="0" w:space="0" w:color="auto"/>
        <w:bottom w:val="none" w:sz="0" w:space="0" w:color="auto"/>
        <w:right w:val="none" w:sz="0" w:space="0" w:color="auto"/>
      </w:divBdr>
    </w:div>
    <w:div w:id="625701348">
      <w:bodyDiv w:val="1"/>
      <w:marLeft w:val="0"/>
      <w:marRight w:val="0"/>
      <w:marTop w:val="0"/>
      <w:marBottom w:val="0"/>
      <w:divBdr>
        <w:top w:val="none" w:sz="0" w:space="0" w:color="auto"/>
        <w:left w:val="none" w:sz="0" w:space="0" w:color="auto"/>
        <w:bottom w:val="none" w:sz="0" w:space="0" w:color="auto"/>
        <w:right w:val="none" w:sz="0" w:space="0" w:color="auto"/>
      </w:divBdr>
    </w:div>
    <w:div w:id="702095779">
      <w:bodyDiv w:val="1"/>
      <w:marLeft w:val="0"/>
      <w:marRight w:val="0"/>
      <w:marTop w:val="0"/>
      <w:marBottom w:val="0"/>
      <w:divBdr>
        <w:top w:val="none" w:sz="0" w:space="0" w:color="auto"/>
        <w:left w:val="none" w:sz="0" w:space="0" w:color="auto"/>
        <w:bottom w:val="none" w:sz="0" w:space="0" w:color="auto"/>
        <w:right w:val="none" w:sz="0" w:space="0" w:color="auto"/>
      </w:divBdr>
    </w:div>
    <w:div w:id="1419789530">
      <w:bodyDiv w:val="1"/>
      <w:marLeft w:val="0"/>
      <w:marRight w:val="0"/>
      <w:marTop w:val="0"/>
      <w:marBottom w:val="0"/>
      <w:divBdr>
        <w:top w:val="none" w:sz="0" w:space="0" w:color="auto"/>
        <w:left w:val="none" w:sz="0" w:space="0" w:color="auto"/>
        <w:bottom w:val="none" w:sz="0" w:space="0" w:color="auto"/>
        <w:right w:val="none" w:sz="0" w:space="0" w:color="auto"/>
      </w:divBdr>
    </w:div>
    <w:div w:id="1550651310">
      <w:bodyDiv w:val="1"/>
      <w:marLeft w:val="0"/>
      <w:marRight w:val="0"/>
      <w:marTop w:val="0"/>
      <w:marBottom w:val="0"/>
      <w:divBdr>
        <w:top w:val="none" w:sz="0" w:space="0" w:color="auto"/>
        <w:left w:val="none" w:sz="0" w:space="0" w:color="auto"/>
        <w:bottom w:val="none" w:sz="0" w:space="0" w:color="auto"/>
        <w:right w:val="none" w:sz="0" w:space="0" w:color="auto"/>
      </w:divBdr>
    </w:div>
    <w:div w:id="1698844714">
      <w:bodyDiv w:val="1"/>
      <w:marLeft w:val="0"/>
      <w:marRight w:val="0"/>
      <w:marTop w:val="0"/>
      <w:marBottom w:val="0"/>
      <w:divBdr>
        <w:top w:val="none" w:sz="0" w:space="0" w:color="auto"/>
        <w:left w:val="none" w:sz="0" w:space="0" w:color="auto"/>
        <w:bottom w:val="none" w:sz="0" w:space="0" w:color="auto"/>
        <w:right w:val="none" w:sz="0" w:space="0" w:color="auto"/>
      </w:divBdr>
      <w:divsChild>
        <w:div w:id="888492763">
          <w:marLeft w:val="432"/>
          <w:marRight w:val="0"/>
          <w:marTop w:val="116"/>
          <w:marBottom w:val="0"/>
          <w:divBdr>
            <w:top w:val="none" w:sz="0" w:space="0" w:color="auto"/>
            <w:left w:val="none" w:sz="0" w:space="0" w:color="auto"/>
            <w:bottom w:val="none" w:sz="0" w:space="0" w:color="auto"/>
            <w:right w:val="none" w:sz="0" w:space="0" w:color="auto"/>
          </w:divBdr>
        </w:div>
        <w:div w:id="2019381512">
          <w:marLeft w:val="864"/>
          <w:marRight w:val="0"/>
          <w:marTop w:val="74"/>
          <w:marBottom w:val="0"/>
          <w:divBdr>
            <w:top w:val="none" w:sz="0" w:space="0" w:color="auto"/>
            <w:left w:val="none" w:sz="0" w:space="0" w:color="auto"/>
            <w:bottom w:val="none" w:sz="0" w:space="0" w:color="auto"/>
            <w:right w:val="none" w:sz="0" w:space="0" w:color="auto"/>
          </w:divBdr>
        </w:div>
        <w:div w:id="1074427553">
          <w:marLeft w:val="864"/>
          <w:marRight w:val="0"/>
          <w:marTop w:val="74"/>
          <w:marBottom w:val="0"/>
          <w:divBdr>
            <w:top w:val="none" w:sz="0" w:space="0" w:color="auto"/>
            <w:left w:val="none" w:sz="0" w:space="0" w:color="auto"/>
            <w:bottom w:val="none" w:sz="0" w:space="0" w:color="auto"/>
            <w:right w:val="none" w:sz="0" w:space="0" w:color="auto"/>
          </w:divBdr>
        </w:div>
        <w:div w:id="257494608">
          <w:marLeft w:val="864"/>
          <w:marRight w:val="0"/>
          <w:marTop w:val="74"/>
          <w:marBottom w:val="0"/>
          <w:divBdr>
            <w:top w:val="none" w:sz="0" w:space="0" w:color="auto"/>
            <w:left w:val="none" w:sz="0" w:space="0" w:color="auto"/>
            <w:bottom w:val="none" w:sz="0" w:space="0" w:color="auto"/>
            <w:right w:val="none" w:sz="0" w:space="0" w:color="auto"/>
          </w:divBdr>
        </w:div>
        <w:div w:id="1880162747">
          <w:marLeft w:val="432"/>
          <w:marRight w:val="0"/>
          <w:marTop w:val="116"/>
          <w:marBottom w:val="0"/>
          <w:divBdr>
            <w:top w:val="none" w:sz="0" w:space="0" w:color="auto"/>
            <w:left w:val="none" w:sz="0" w:space="0" w:color="auto"/>
            <w:bottom w:val="none" w:sz="0" w:space="0" w:color="auto"/>
            <w:right w:val="none" w:sz="0" w:space="0" w:color="auto"/>
          </w:divBdr>
        </w:div>
        <w:div w:id="64037714">
          <w:marLeft w:val="864"/>
          <w:marRight w:val="0"/>
          <w:marTop w:val="74"/>
          <w:marBottom w:val="0"/>
          <w:divBdr>
            <w:top w:val="none" w:sz="0" w:space="0" w:color="auto"/>
            <w:left w:val="none" w:sz="0" w:space="0" w:color="auto"/>
            <w:bottom w:val="none" w:sz="0" w:space="0" w:color="auto"/>
            <w:right w:val="none" w:sz="0" w:space="0" w:color="auto"/>
          </w:divBdr>
        </w:div>
        <w:div w:id="1334990338">
          <w:marLeft w:val="864"/>
          <w:marRight w:val="0"/>
          <w:marTop w:val="74"/>
          <w:marBottom w:val="0"/>
          <w:divBdr>
            <w:top w:val="none" w:sz="0" w:space="0" w:color="auto"/>
            <w:left w:val="none" w:sz="0" w:space="0" w:color="auto"/>
            <w:bottom w:val="none" w:sz="0" w:space="0" w:color="auto"/>
            <w:right w:val="none" w:sz="0" w:space="0" w:color="auto"/>
          </w:divBdr>
        </w:div>
        <w:div w:id="924146057">
          <w:marLeft w:val="432"/>
          <w:marRight w:val="0"/>
          <w:marTop w:val="116"/>
          <w:marBottom w:val="0"/>
          <w:divBdr>
            <w:top w:val="none" w:sz="0" w:space="0" w:color="auto"/>
            <w:left w:val="none" w:sz="0" w:space="0" w:color="auto"/>
            <w:bottom w:val="none" w:sz="0" w:space="0" w:color="auto"/>
            <w:right w:val="none" w:sz="0" w:space="0" w:color="auto"/>
          </w:divBdr>
        </w:div>
        <w:div w:id="1267081804">
          <w:marLeft w:val="864"/>
          <w:marRight w:val="0"/>
          <w:marTop w:val="74"/>
          <w:marBottom w:val="0"/>
          <w:divBdr>
            <w:top w:val="none" w:sz="0" w:space="0" w:color="auto"/>
            <w:left w:val="none" w:sz="0" w:space="0" w:color="auto"/>
            <w:bottom w:val="none" w:sz="0" w:space="0" w:color="auto"/>
            <w:right w:val="none" w:sz="0" w:space="0" w:color="auto"/>
          </w:divBdr>
        </w:div>
        <w:div w:id="465927023">
          <w:marLeft w:val="864"/>
          <w:marRight w:val="0"/>
          <w:marTop w:val="74"/>
          <w:marBottom w:val="0"/>
          <w:divBdr>
            <w:top w:val="none" w:sz="0" w:space="0" w:color="auto"/>
            <w:left w:val="none" w:sz="0" w:space="0" w:color="auto"/>
            <w:bottom w:val="none" w:sz="0" w:space="0" w:color="auto"/>
            <w:right w:val="none" w:sz="0" w:space="0" w:color="auto"/>
          </w:divBdr>
        </w:div>
        <w:div w:id="746461307">
          <w:marLeft w:val="432"/>
          <w:marRight w:val="0"/>
          <w:marTop w:val="116"/>
          <w:marBottom w:val="0"/>
          <w:divBdr>
            <w:top w:val="none" w:sz="0" w:space="0" w:color="auto"/>
            <w:left w:val="none" w:sz="0" w:space="0" w:color="auto"/>
            <w:bottom w:val="none" w:sz="0" w:space="0" w:color="auto"/>
            <w:right w:val="none" w:sz="0" w:space="0" w:color="auto"/>
          </w:divBdr>
        </w:div>
        <w:div w:id="218637216">
          <w:marLeft w:val="864"/>
          <w:marRight w:val="0"/>
          <w:marTop w:val="74"/>
          <w:marBottom w:val="0"/>
          <w:divBdr>
            <w:top w:val="none" w:sz="0" w:space="0" w:color="auto"/>
            <w:left w:val="none" w:sz="0" w:space="0" w:color="auto"/>
            <w:bottom w:val="none" w:sz="0" w:space="0" w:color="auto"/>
            <w:right w:val="none" w:sz="0" w:space="0" w:color="auto"/>
          </w:divBdr>
        </w:div>
        <w:div w:id="550651034">
          <w:marLeft w:val="864"/>
          <w:marRight w:val="0"/>
          <w:marTop w:val="74"/>
          <w:marBottom w:val="0"/>
          <w:divBdr>
            <w:top w:val="none" w:sz="0" w:space="0" w:color="auto"/>
            <w:left w:val="none" w:sz="0" w:space="0" w:color="auto"/>
            <w:bottom w:val="none" w:sz="0" w:space="0" w:color="auto"/>
            <w:right w:val="none" w:sz="0" w:space="0" w:color="auto"/>
          </w:divBdr>
        </w:div>
      </w:divsChild>
    </w:div>
    <w:div w:id="2127580442">
      <w:bodyDiv w:val="1"/>
      <w:marLeft w:val="0"/>
      <w:marRight w:val="0"/>
      <w:marTop w:val="0"/>
      <w:marBottom w:val="0"/>
      <w:divBdr>
        <w:top w:val="none" w:sz="0" w:space="0" w:color="auto"/>
        <w:left w:val="none" w:sz="0" w:space="0" w:color="auto"/>
        <w:bottom w:val="none" w:sz="0" w:space="0" w:color="auto"/>
        <w:right w:val="none" w:sz="0" w:space="0" w:color="auto"/>
      </w:divBdr>
      <w:divsChild>
        <w:div w:id="965742831">
          <w:marLeft w:val="432"/>
          <w:marRight w:val="0"/>
          <w:marTop w:val="116"/>
          <w:marBottom w:val="0"/>
          <w:divBdr>
            <w:top w:val="none" w:sz="0" w:space="0" w:color="auto"/>
            <w:left w:val="none" w:sz="0" w:space="0" w:color="auto"/>
            <w:bottom w:val="none" w:sz="0" w:space="0" w:color="auto"/>
            <w:right w:val="none" w:sz="0" w:space="0" w:color="auto"/>
          </w:divBdr>
        </w:div>
        <w:div w:id="321544786">
          <w:marLeft w:val="864"/>
          <w:marRight w:val="0"/>
          <w:marTop w:val="74"/>
          <w:marBottom w:val="0"/>
          <w:divBdr>
            <w:top w:val="none" w:sz="0" w:space="0" w:color="auto"/>
            <w:left w:val="none" w:sz="0" w:space="0" w:color="auto"/>
            <w:bottom w:val="none" w:sz="0" w:space="0" w:color="auto"/>
            <w:right w:val="none" w:sz="0" w:space="0" w:color="auto"/>
          </w:divBdr>
        </w:div>
        <w:div w:id="788865495">
          <w:marLeft w:val="864"/>
          <w:marRight w:val="0"/>
          <w:marTop w:val="74"/>
          <w:marBottom w:val="0"/>
          <w:divBdr>
            <w:top w:val="none" w:sz="0" w:space="0" w:color="auto"/>
            <w:left w:val="none" w:sz="0" w:space="0" w:color="auto"/>
            <w:bottom w:val="none" w:sz="0" w:space="0" w:color="auto"/>
            <w:right w:val="none" w:sz="0" w:space="0" w:color="auto"/>
          </w:divBdr>
        </w:div>
        <w:div w:id="713120476">
          <w:marLeft w:val="864"/>
          <w:marRight w:val="0"/>
          <w:marTop w:val="74"/>
          <w:marBottom w:val="0"/>
          <w:divBdr>
            <w:top w:val="none" w:sz="0" w:space="0" w:color="auto"/>
            <w:left w:val="none" w:sz="0" w:space="0" w:color="auto"/>
            <w:bottom w:val="none" w:sz="0" w:space="0" w:color="auto"/>
            <w:right w:val="none" w:sz="0" w:space="0" w:color="auto"/>
          </w:divBdr>
        </w:div>
        <w:div w:id="951976476">
          <w:marLeft w:val="432"/>
          <w:marRight w:val="0"/>
          <w:marTop w:val="116"/>
          <w:marBottom w:val="0"/>
          <w:divBdr>
            <w:top w:val="none" w:sz="0" w:space="0" w:color="auto"/>
            <w:left w:val="none" w:sz="0" w:space="0" w:color="auto"/>
            <w:bottom w:val="none" w:sz="0" w:space="0" w:color="auto"/>
            <w:right w:val="none" w:sz="0" w:space="0" w:color="auto"/>
          </w:divBdr>
        </w:div>
        <w:div w:id="298414313">
          <w:marLeft w:val="432"/>
          <w:marRight w:val="0"/>
          <w:marTop w:val="116"/>
          <w:marBottom w:val="0"/>
          <w:divBdr>
            <w:top w:val="none" w:sz="0" w:space="0" w:color="auto"/>
            <w:left w:val="none" w:sz="0" w:space="0" w:color="auto"/>
            <w:bottom w:val="none" w:sz="0" w:space="0" w:color="auto"/>
            <w:right w:val="none" w:sz="0" w:space="0" w:color="auto"/>
          </w:divBdr>
        </w:div>
        <w:div w:id="251470309">
          <w:marLeft w:val="864"/>
          <w:marRight w:val="0"/>
          <w:marTop w:val="74"/>
          <w:marBottom w:val="0"/>
          <w:divBdr>
            <w:top w:val="none" w:sz="0" w:space="0" w:color="auto"/>
            <w:left w:val="none" w:sz="0" w:space="0" w:color="auto"/>
            <w:bottom w:val="none" w:sz="0" w:space="0" w:color="auto"/>
            <w:right w:val="none" w:sz="0" w:space="0" w:color="auto"/>
          </w:divBdr>
        </w:div>
        <w:div w:id="1895774383">
          <w:marLeft w:val="432"/>
          <w:marRight w:val="0"/>
          <w:marTop w:val="116"/>
          <w:marBottom w:val="0"/>
          <w:divBdr>
            <w:top w:val="none" w:sz="0" w:space="0" w:color="auto"/>
            <w:left w:val="none" w:sz="0" w:space="0" w:color="auto"/>
            <w:bottom w:val="none" w:sz="0" w:space="0" w:color="auto"/>
            <w:right w:val="none" w:sz="0" w:space="0" w:color="auto"/>
          </w:divBdr>
        </w:div>
        <w:div w:id="1103109596">
          <w:marLeft w:val="432"/>
          <w:marRight w:val="0"/>
          <w:marTop w:val="116"/>
          <w:marBottom w:val="0"/>
          <w:divBdr>
            <w:top w:val="none" w:sz="0" w:space="0" w:color="auto"/>
            <w:left w:val="none" w:sz="0" w:space="0" w:color="auto"/>
            <w:bottom w:val="none" w:sz="0" w:space="0" w:color="auto"/>
            <w:right w:val="none" w:sz="0" w:space="0" w:color="auto"/>
          </w:divBdr>
        </w:div>
      </w:divsChild>
    </w:div>
    <w:div w:id="2147356547">
      <w:bodyDiv w:val="1"/>
      <w:marLeft w:val="0"/>
      <w:marRight w:val="0"/>
      <w:marTop w:val="0"/>
      <w:marBottom w:val="0"/>
      <w:divBdr>
        <w:top w:val="none" w:sz="0" w:space="0" w:color="auto"/>
        <w:left w:val="none" w:sz="0" w:space="0" w:color="auto"/>
        <w:bottom w:val="none" w:sz="0" w:space="0" w:color="auto"/>
        <w:right w:val="none" w:sz="0" w:space="0" w:color="auto"/>
      </w:divBdr>
      <w:divsChild>
        <w:div w:id="872617398">
          <w:marLeft w:val="432"/>
          <w:marRight w:val="0"/>
          <w:marTop w:val="116"/>
          <w:marBottom w:val="0"/>
          <w:divBdr>
            <w:top w:val="none" w:sz="0" w:space="0" w:color="auto"/>
            <w:left w:val="none" w:sz="0" w:space="0" w:color="auto"/>
            <w:bottom w:val="none" w:sz="0" w:space="0" w:color="auto"/>
            <w:right w:val="none" w:sz="0" w:space="0" w:color="auto"/>
          </w:divBdr>
        </w:div>
        <w:div w:id="1437863827">
          <w:marLeft w:val="864"/>
          <w:marRight w:val="0"/>
          <w:marTop w:val="74"/>
          <w:marBottom w:val="0"/>
          <w:divBdr>
            <w:top w:val="none" w:sz="0" w:space="0" w:color="auto"/>
            <w:left w:val="none" w:sz="0" w:space="0" w:color="auto"/>
            <w:bottom w:val="none" w:sz="0" w:space="0" w:color="auto"/>
            <w:right w:val="none" w:sz="0" w:space="0" w:color="auto"/>
          </w:divBdr>
        </w:div>
        <w:div w:id="154954260">
          <w:marLeft w:val="864"/>
          <w:marRight w:val="0"/>
          <w:marTop w:val="74"/>
          <w:marBottom w:val="0"/>
          <w:divBdr>
            <w:top w:val="none" w:sz="0" w:space="0" w:color="auto"/>
            <w:left w:val="none" w:sz="0" w:space="0" w:color="auto"/>
            <w:bottom w:val="none" w:sz="0" w:space="0" w:color="auto"/>
            <w:right w:val="none" w:sz="0" w:space="0" w:color="auto"/>
          </w:divBdr>
        </w:div>
        <w:div w:id="40518625">
          <w:marLeft w:val="864"/>
          <w:marRight w:val="0"/>
          <w:marTop w:val="74"/>
          <w:marBottom w:val="0"/>
          <w:divBdr>
            <w:top w:val="none" w:sz="0" w:space="0" w:color="auto"/>
            <w:left w:val="none" w:sz="0" w:space="0" w:color="auto"/>
            <w:bottom w:val="none" w:sz="0" w:space="0" w:color="auto"/>
            <w:right w:val="none" w:sz="0" w:space="0" w:color="auto"/>
          </w:divBdr>
        </w:div>
        <w:div w:id="1688869672">
          <w:marLeft w:val="1296"/>
          <w:marRight w:val="0"/>
          <w:marTop w:val="74"/>
          <w:marBottom w:val="0"/>
          <w:divBdr>
            <w:top w:val="none" w:sz="0" w:space="0" w:color="auto"/>
            <w:left w:val="none" w:sz="0" w:space="0" w:color="auto"/>
            <w:bottom w:val="none" w:sz="0" w:space="0" w:color="auto"/>
            <w:right w:val="none" w:sz="0" w:space="0" w:color="auto"/>
          </w:divBdr>
        </w:div>
        <w:div w:id="2002006421">
          <w:marLeft w:val="1296"/>
          <w:marRight w:val="0"/>
          <w:marTop w:val="74"/>
          <w:marBottom w:val="0"/>
          <w:divBdr>
            <w:top w:val="none" w:sz="0" w:space="0" w:color="auto"/>
            <w:left w:val="none" w:sz="0" w:space="0" w:color="auto"/>
            <w:bottom w:val="none" w:sz="0" w:space="0" w:color="auto"/>
            <w:right w:val="none" w:sz="0" w:space="0" w:color="auto"/>
          </w:divBdr>
        </w:div>
        <w:div w:id="2146383430">
          <w:marLeft w:val="864"/>
          <w:marRight w:val="0"/>
          <w:marTop w:val="74"/>
          <w:marBottom w:val="0"/>
          <w:divBdr>
            <w:top w:val="none" w:sz="0" w:space="0" w:color="auto"/>
            <w:left w:val="none" w:sz="0" w:space="0" w:color="auto"/>
            <w:bottom w:val="none" w:sz="0" w:space="0" w:color="auto"/>
            <w:right w:val="none" w:sz="0" w:space="0" w:color="auto"/>
          </w:divBdr>
        </w:div>
        <w:div w:id="274600288">
          <w:marLeft w:val="1296"/>
          <w:marRight w:val="0"/>
          <w:marTop w:val="74"/>
          <w:marBottom w:val="0"/>
          <w:divBdr>
            <w:top w:val="none" w:sz="0" w:space="0" w:color="auto"/>
            <w:left w:val="none" w:sz="0" w:space="0" w:color="auto"/>
            <w:bottom w:val="none" w:sz="0" w:space="0" w:color="auto"/>
            <w:right w:val="none" w:sz="0" w:space="0" w:color="auto"/>
          </w:divBdr>
        </w:div>
        <w:div w:id="1125002678">
          <w:marLeft w:val="1296"/>
          <w:marRight w:val="0"/>
          <w:marTop w:val="74"/>
          <w:marBottom w:val="0"/>
          <w:divBdr>
            <w:top w:val="none" w:sz="0" w:space="0" w:color="auto"/>
            <w:left w:val="none" w:sz="0" w:space="0" w:color="auto"/>
            <w:bottom w:val="none" w:sz="0" w:space="0" w:color="auto"/>
            <w:right w:val="none" w:sz="0" w:space="0" w:color="auto"/>
          </w:divBdr>
        </w:div>
        <w:div w:id="78522425">
          <w:marLeft w:val="432"/>
          <w:marRight w:val="0"/>
          <w:marTop w:val="116"/>
          <w:marBottom w:val="0"/>
          <w:divBdr>
            <w:top w:val="none" w:sz="0" w:space="0" w:color="auto"/>
            <w:left w:val="none" w:sz="0" w:space="0" w:color="auto"/>
            <w:bottom w:val="none" w:sz="0" w:space="0" w:color="auto"/>
            <w:right w:val="none" w:sz="0" w:space="0" w:color="auto"/>
          </w:divBdr>
        </w:div>
        <w:div w:id="1742023668">
          <w:marLeft w:val="864"/>
          <w:marRight w:val="0"/>
          <w:marTop w:val="74"/>
          <w:marBottom w:val="0"/>
          <w:divBdr>
            <w:top w:val="none" w:sz="0" w:space="0" w:color="auto"/>
            <w:left w:val="none" w:sz="0" w:space="0" w:color="auto"/>
            <w:bottom w:val="none" w:sz="0" w:space="0" w:color="auto"/>
            <w:right w:val="none" w:sz="0" w:space="0" w:color="auto"/>
          </w:divBdr>
        </w:div>
        <w:div w:id="1729378475">
          <w:marLeft w:val="864"/>
          <w:marRight w:val="0"/>
          <w:marTop w:val="74"/>
          <w:marBottom w:val="0"/>
          <w:divBdr>
            <w:top w:val="none" w:sz="0" w:space="0" w:color="auto"/>
            <w:left w:val="none" w:sz="0" w:space="0" w:color="auto"/>
            <w:bottom w:val="none" w:sz="0" w:space="0" w:color="auto"/>
            <w:right w:val="none" w:sz="0" w:space="0" w:color="auto"/>
          </w:divBdr>
        </w:div>
        <w:div w:id="1873150339">
          <w:marLeft w:val="864"/>
          <w:marRight w:val="0"/>
          <w:marTop w:val="74"/>
          <w:marBottom w:val="0"/>
          <w:divBdr>
            <w:top w:val="none" w:sz="0" w:space="0" w:color="auto"/>
            <w:left w:val="none" w:sz="0" w:space="0" w:color="auto"/>
            <w:bottom w:val="none" w:sz="0" w:space="0" w:color="auto"/>
            <w:right w:val="none" w:sz="0" w:space="0" w:color="auto"/>
          </w:divBdr>
        </w:div>
        <w:div w:id="1378748423">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158D-2EFE-42D0-8B4F-14C4BCB1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Prouzet</dc:creator>
  <cp:lastModifiedBy>Emilie Prouzet</cp:lastModifiedBy>
  <cp:revision>4</cp:revision>
  <cp:lastPrinted>2011-03-14T17:22:00Z</cp:lastPrinted>
  <dcterms:created xsi:type="dcterms:W3CDTF">2011-06-24T14:23:00Z</dcterms:created>
  <dcterms:modified xsi:type="dcterms:W3CDTF">2011-06-24T14:28:00Z</dcterms:modified>
</cp:coreProperties>
</file>